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hd w:val="clear" w:fill="DBE5F1"/>
        <w:rPr/>
      </w:pPr>
      <w:r>
        <w:rPr/>
        <w:t>Опис конкурсног задатка</w:t>
      </w:r>
    </w:p>
    <w:p>
      <w:pPr>
        <w:pStyle w:val="Normal"/>
        <w:rPr>
          <w:b/>
          <w:b/>
        </w:rPr>
      </w:pPr>
      <w:r>
        <w:rPr>
          <w:b/>
        </w:rPr>
        <w:t>Конкурсни задатак детаљно је дефинисан Програмом конкурса који је део конкурсне документације.</w:t>
      </w:r>
    </w:p>
    <w:p>
      <w:pPr>
        <w:pStyle w:val="Normal"/>
        <w:rPr>
          <w:b/>
          <w:b/>
        </w:rPr>
      </w:pPr>
      <w:r>
        <w:rPr>
          <w:b/>
        </w:rPr>
      </w:r>
    </w:p>
    <w:p>
      <w:pPr>
        <w:pStyle w:val="Normal"/>
        <w:rPr>
          <w:b/>
          <w:b/>
        </w:rPr>
      </w:pPr>
      <w:r>
        <w:rPr>
          <w:b/>
        </w:rPr>
        <w:t>У опису конкурсног задатка је дат кратак извод из Програма:</w:t>
      </w:r>
    </w:p>
    <w:p>
      <w:pPr>
        <w:pStyle w:val="Normal"/>
        <w:rPr/>
      </w:pPr>
      <w:r>
        <w:rPr/>
        <w:t>Задатак конкурса је израда урбанистичко-архитектонског решења Трга Ослобођења у Зајечару, према обавезним елементима и смерницама који су дефинисани Програмом конкурса, како би награђена и откупљена решења била полазна основа за урбану обнову предметног подручја, са свим елементима дефинисаним конкурсном документацијом.</w:t>
      </w:r>
    </w:p>
    <w:p>
      <w:pPr>
        <w:pStyle w:val="Normal"/>
        <w:rPr/>
      </w:pPr>
      <w:r>
        <w:rPr/>
        <w:t>Од предложених решења се очекује да буду функционална, атрактивна, рационална и примерена централној градској зони. Учесници треба да испитају могућност растерећења ужег центра насеља од моторног саобраћаја у циљу формирања вишенаменског трга и пешачке зоне којима се повећава естетска вредност и формира нови амбијент који ће представљати центар друштвених збивања и социјалних контаката.</w:t>
      </w:r>
    </w:p>
    <w:p>
      <w:pPr>
        <w:pStyle w:val="Normal"/>
        <w:rPr>
          <w:b/>
          <w:b/>
        </w:rPr>
      </w:pPr>
      <w:r>
        <w:rPr>
          <w:b/>
        </w:rPr>
        <w:t>Предмет конкурса, опште смернице и препоруке</w:t>
      </w:r>
    </w:p>
    <w:p>
      <w:pPr>
        <w:pStyle w:val="Normal"/>
        <w:rPr/>
      </w:pPr>
      <w:r>
        <w:rPr/>
        <w:t>Предмет конкурса је уређење Трга ослобођења у Зајечару.</w:t>
      </w:r>
    </w:p>
    <w:p>
      <w:pPr>
        <w:pStyle w:val="Normal"/>
        <w:rPr/>
      </w:pPr>
      <w:r>
        <w:rPr/>
        <w:t>Плански основ за урбанистичко-архитектонски конкурс је План генералне регулације града Зајечара бр. 3 – Центар града Зајечара („Службени лист града Зајечара“, бр. 34/18), тј. информација о локацији као извод из планске документације.</w:t>
      </w:r>
    </w:p>
    <w:p>
      <w:pPr>
        <w:pStyle w:val="Normal"/>
        <w:rPr/>
      </w:pPr>
      <w:r>
        <w:rPr/>
        <w:t>Циљ конкурса је да се у складу са конкурсним задатком, програмским захтевима, историјским контекстом, потенцијалима локације и трендовима развоја, изабере најадекватније идејно урбанистичко-архитектонско решење Трга ослобођења у Зајечару.</w:t>
      </w:r>
    </w:p>
    <w:p>
      <w:pPr>
        <w:pStyle w:val="Normal"/>
        <w:rPr/>
      </w:pPr>
      <w:r>
        <w:rPr/>
        <w:t>Предложена идејна решења треба да буду примерена намени и значају локације, да су у складу са конкурсним задатком, планским документима и афирмативна у односу на амбијент у коме ће се налазити. Развој трга сагледати на начин да активира све потенцијале простора, повећа степен атрактивности и трасира путеве новог оживљавања и адекватнијег коришћења простора. Централни градски трг, својим концептом и обрадом свакако треба да буде најатрактивнији и најпрепознатљивији сегмент градског простора.</w:t>
      </w:r>
    </w:p>
    <w:p>
      <w:pPr>
        <w:pStyle w:val="Normal"/>
        <w:rPr/>
      </w:pPr>
      <w:r>
        <w:rPr/>
        <w:t xml:space="preserve">Предлог идејног урбанистичко-архитектонског решења Трга ослобођења у Зајечару треба да буде високог урбанистичко-архитектонског квалитета, како у визуелном, тако и у погледу примењених материјала. Такође, потребно је да уређење партера и зелених површина буде у складу са амбијентом. </w:t>
      </w:r>
    </w:p>
    <w:p>
      <w:pPr>
        <w:pStyle w:val="Normal"/>
        <w:rPr/>
      </w:pPr>
      <w:r>
        <w:rPr/>
        <w:t>Решења морају да задовоље и захтеве у погледу приступа појединачним садржајима на локацији, неометаног коришћења свих садржаја (постојећих и планираних) особама са инвалидитетом, функционалне повезаности одређених простора и садржаја међусобно, као и сигурносно-безбедносне захтеве, како појединачних делова тако и централне пешачке зоне у целини.</w:t>
      </w:r>
    </w:p>
    <w:p>
      <w:pPr>
        <w:pStyle w:val="Normal"/>
        <w:rPr/>
      </w:pPr>
      <w:r>
        <w:rPr/>
        <w:t xml:space="preserve">Предметну локацију треба сагледати и презентовати као целину, али и кроз сегменте, према графичком приказу </w:t>
      </w:r>
    </w:p>
    <w:p>
      <w:pPr>
        <w:pStyle w:val="Normal"/>
        <w:rPr>
          <w:b/>
          <w:b/>
        </w:rPr>
      </w:pPr>
      <w:r>
        <w:rPr>
          <w:b/>
        </w:rPr>
        <w:t>Обавезни програмски елементи</w:t>
      </w:r>
    </w:p>
    <w:p>
      <w:pPr>
        <w:pStyle w:val="Normal"/>
        <w:rPr/>
      </w:pPr>
      <w:r>
        <w:rPr/>
        <w:t>Обавезни програмски елементи који морају бити имплементирани у склопу урбанистичко-архитектонског решења  Трга ослобођења у Зајечару су следећи:</w:t>
      </w:r>
    </w:p>
    <w:p>
      <w:pPr>
        <w:pStyle w:val="Normal"/>
        <w:rPr/>
      </w:pPr>
      <w:r>
        <w:rPr/>
        <w:t>•</w:t>
      </w:r>
      <w:r>
        <w:rPr/>
        <w:tab/>
        <w:t xml:space="preserve">Партерна фонтана приближне површине 50м2, у нивоу поплочања пешачке зоне. Осмислити минимум 50 млазница, такође у нивоу поплочања, испод којих се налази лед расвета, која ће централној зони дати ноту разиграног, савременог изгледа; </w:t>
      </w:r>
    </w:p>
    <w:p>
      <w:pPr>
        <w:pStyle w:val="Normal"/>
        <w:rPr/>
      </w:pPr>
      <w:r>
        <w:rPr/>
        <w:t>•</w:t>
      </w:r>
      <w:r>
        <w:rPr/>
        <w:tab/>
        <w:t xml:space="preserve">Изнад новопројектоване фонтане, у партерном делу између зграде музеја и комерцијалних објеката, осмислити део партера који ће да садржи мотиве античког Рима и својим садржајем и карактером подсећати на палату Феликс Ромулијане - археолошко налазиште Гамзиград и оживети осећај античког Рима у овом делу централне пешачке зоне, а самим тим и упутити на археолошко налазиште у близини Зајечара; </w:t>
      </w:r>
    </w:p>
    <w:p>
      <w:pPr>
        <w:pStyle w:val="Normal"/>
        <w:rPr/>
      </w:pPr>
      <w:r>
        <w:rPr/>
        <w:t>•</w:t>
      </w:r>
      <w:r>
        <w:rPr/>
        <w:tab/>
        <w:t>Поплочање централне пешачке зоне са акцентом на главне правце кретања и поплочање улице Николе Пашића са циљем умирења колског саобраћаја;</w:t>
      </w:r>
    </w:p>
    <w:p>
      <w:pPr>
        <w:pStyle w:val="Normal"/>
        <w:rPr/>
      </w:pPr>
      <w:r>
        <w:rPr/>
        <w:t>•</w:t>
      </w:r>
      <w:r>
        <w:rPr/>
        <w:tab/>
        <w:t>Размештај урбаног мобилијара неопходног и примереног функцији главне, централне, пешачке зоне.</w:t>
      </w:r>
    </w:p>
    <w:p>
      <w:pPr>
        <w:pStyle w:val="Normal"/>
        <w:rPr>
          <w:b/>
          <w:b/>
        </w:rPr>
      </w:pPr>
      <w:r>
        <w:rPr>
          <w:b/>
        </w:rPr>
        <w:t>Смернице за пешачке комуникације и постојеће саобраћајне површине</w:t>
      </w:r>
    </w:p>
    <w:p>
      <w:pPr>
        <w:pStyle w:val="Normal"/>
        <w:rPr/>
      </w:pPr>
      <w:r>
        <w:rPr/>
        <w:t>Идејним решењем је потребно обезбедити приступ у централну пешачку зону из свих релевантних праваца. Искористити све постојеће прилазе и испројектовати нове пешачке површине које јасно повезују главне садржаје унутар предметне локације.</w:t>
      </w:r>
    </w:p>
    <w:p>
      <w:pPr>
        <w:pStyle w:val="Normal"/>
        <w:rPr/>
      </w:pPr>
      <w:r>
        <w:rPr/>
        <w:t>Простор треба поплочати и на тај начин визуелно га објединити и учинити атрактивним. Поплочањем обухватити и улицу Николе Пашића и на тај начин добити амбијенталну целину и дати ноту успореног саобраћаја.</w:t>
      </w:r>
    </w:p>
    <w:p>
      <w:pPr>
        <w:pStyle w:val="Normal"/>
        <w:rPr>
          <w:b/>
          <w:b/>
        </w:rPr>
      </w:pPr>
      <w:r>
        <w:rPr>
          <w:b/>
        </w:rPr>
        <w:t>Смернице за расвету и урбани мобилијар</w:t>
      </w:r>
    </w:p>
    <w:p>
      <w:pPr>
        <w:pStyle w:val="Normal"/>
        <w:rPr/>
      </w:pPr>
      <w:r>
        <w:rPr/>
        <w:t xml:space="preserve">Идејним решењем предвидети адекватну расвету целокупне пешачке зоне, са акцентом на главне садржаје. Расветна тела треба позиционирати тако да се на правилан и безбедан начин осветле пешачке стаже и простори за окупљање. Идејним решењем предвидети имплементирање високих лед светиљки, а опционо и подну расвету. Предвидети прикладно осветљење и постојећих споменичких вредности на локацији. </w:t>
      </w:r>
    </w:p>
    <w:p>
      <w:pPr>
        <w:pStyle w:val="Normal"/>
        <w:rPr/>
      </w:pPr>
      <w:r>
        <w:rPr/>
        <w:t xml:space="preserve">Планирати осветљење новопројектоване, партерне фонтане лед расветом у поду. </w:t>
      </w:r>
    </w:p>
    <w:p>
      <w:pPr>
        <w:pStyle w:val="Normal"/>
        <w:rPr/>
      </w:pPr>
      <w:r>
        <w:rPr/>
        <w:t>Потребно је имплементирати урбани мобилијар са циљем добијања мултифункционалног простора који ће задовољити потребе корисника. Предвидети употребу елемената спољног мобилијара у виду клупа за седење, канти за отпатке, расветних тела итд.</w:t>
      </w:r>
    </w:p>
    <w:p>
      <w:pPr>
        <w:pStyle w:val="Normal"/>
        <w:rPr>
          <w:b/>
          <w:b/>
        </w:rPr>
      </w:pPr>
      <w:r>
        <w:rPr>
          <w:b/>
        </w:rPr>
        <w:t>Смернице за обликовање и материјализацију</w:t>
      </w:r>
    </w:p>
    <w:p>
      <w:pPr>
        <w:pStyle w:val="Normal"/>
        <w:rPr/>
      </w:pPr>
      <w:r>
        <w:rPr/>
        <w:t>У оквиру предлога идејног урбанистичко-архитектонског решења, потребно је јасно представити карактер предложених материјала. Сви материјали који су решењем предложени треба да буду природни, хумани, примерени намени и савременој архитектури. Бирати дуготрајније материјале, отпорније на различите утицаје, као и лакше за одржавање јавног простора. Носивост плоча поплочања и конструкције треба да буде таква да омогући приступ интервентним возилима.</w:t>
      </w:r>
    </w:p>
    <w:p>
      <w:pPr>
        <w:pStyle w:val="Normal"/>
        <w:rPr/>
      </w:pPr>
      <w:r>
        <w:rPr/>
        <w:t>Обликовање простора планирати уз поштовање историјског контекста и адекватан однос према градитељском и осталом наслеђу и ширем окружењу, а уз адекватно осавремењивање.</w:t>
      </w:r>
    </w:p>
    <w:p>
      <w:pPr>
        <w:pStyle w:val="Normal"/>
        <w:rPr>
          <w:b/>
          <w:b/>
        </w:rPr>
      </w:pPr>
      <w:r>
        <w:rPr>
          <w:b/>
        </w:rPr>
        <w:t>Смернице за зеленило</w:t>
      </w:r>
    </w:p>
    <w:p>
      <w:pPr>
        <w:pStyle w:val="Normal"/>
        <w:rPr/>
      </w:pPr>
      <w:r>
        <w:rPr/>
        <w:t>Пожељно је да се идејним решењем предвиди задржавање целокупног фонда високог зеленила на предметној локацији.</w:t>
      </w:r>
    </w:p>
    <w:p>
      <w:pPr>
        <w:pStyle w:val="Normal"/>
        <w:rPr/>
      </w:pPr>
      <w:r>
        <w:rPr/>
        <w:t>Конкурсна решења могу да из функционалних, естетских или других оправданих разлога понуде другачије обликовање партерних зелених површина, где би крајње решење понудило исти или већи проценат зеленила од тренутног.</w:t>
      </w:r>
    </w:p>
    <w:p>
      <w:pPr>
        <w:pStyle w:val="Normal"/>
        <w:rPr>
          <w:b/>
          <w:b/>
        </w:rPr>
      </w:pPr>
      <w:r>
        <w:rPr>
          <w:b/>
        </w:rPr>
        <w:t>Обавезе у формирању простора</w:t>
      </w:r>
    </w:p>
    <w:p>
      <w:pPr>
        <w:pStyle w:val="Normal"/>
        <w:rPr/>
      </w:pPr>
      <w:r>
        <w:rPr/>
        <w:t>•</w:t>
      </w:r>
      <w:r>
        <w:rPr/>
        <w:tab/>
        <w:t>Препознатљиво урбанистичко-архитектонско решење у складу са карактеристикама и значајем намене које адекватно кореспондира са ширим окружењем;</w:t>
      </w:r>
    </w:p>
    <w:p>
      <w:pPr>
        <w:pStyle w:val="Normal"/>
        <w:rPr/>
      </w:pPr>
      <w:r>
        <w:rPr/>
        <w:t>•</w:t>
      </w:r>
      <w:r>
        <w:rPr/>
        <w:tab/>
        <w:t>Репрезентативни карактер укупног амбијента, уз поштовање историје и традиције предметног простора, а опет у духу и са карактеристикама савремене архитектуре;</w:t>
      </w:r>
    </w:p>
    <w:p>
      <w:pPr>
        <w:pStyle w:val="Normal"/>
        <w:rPr/>
      </w:pPr>
      <w:r>
        <w:rPr/>
        <w:t>•</w:t>
      </w:r>
      <w:r>
        <w:rPr/>
        <w:tab/>
        <w:t>Усклађеност целине према намени и садржају у складу са планским, амбијенталним и другим карактеристикама;</w:t>
      </w:r>
    </w:p>
    <w:p>
      <w:pPr>
        <w:pStyle w:val="Normal"/>
        <w:rPr/>
      </w:pPr>
      <w:r>
        <w:rPr/>
        <w:t>•</w:t>
      </w:r>
      <w:r>
        <w:rPr/>
        <w:tab/>
        <w:t>Дефинисање волуметрије и свих елемената нивелације и регулације поштујући задати конкурсни оквир;</w:t>
      </w:r>
    </w:p>
    <w:p>
      <w:pPr>
        <w:pStyle w:val="Normal"/>
        <w:rPr/>
      </w:pPr>
      <w:r>
        <w:rPr/>
        <w:t>•</w:t>
      </w:r>
      <w:r>
        <w:rPr/>
        <w:tab/>
        <w:t>Адекватно обликовање партера: сви примењени елементи морају да се уклапају у овај престижни амбијент својим уређеним и обликованим слободним и зеленим површинама;</w:t>
      </w:r>
    </w:p>
    <w:p>
      <w:pPr>
        <w:pStyle w:val="Normal"/>
        <w:rPr/>
      </w:pPr>
      <w:r>
        <w:rPr/>
        <w:t>•</w:t>
      </w:r>
      <w:r>
        <w:rPr/>
        <w:tab/>
        <w:t>Сви делови простора треба за задовоље несметано кретање лица са отежаним кретањем.</w:t>
      </w:r>
    </w:p>
    <w:p>
      <w:pPr>
        <w:pStyle w:val="Normal"/>
        <w:rPr/>
      </w:pPr>
      <w:r>
        <w:rPr/>
      </w:r>
    </w:p>
    <w:p>
      <w:pPr>
        <w:pStyle w:val="Heading1"/>
        <w:rPr/>
      </w:pPr>
      <w:bookmarkStart w:id="0" w:name="_Toc70010137"/>
      <w:r>
        <w:rPr/>
        <w:t>Услови Конкурса</w:t>
      </w:r>
      <w:bookmarkEnd w:id="0"/>
    </w:p>
    <w:p>
      <w:pPr>
        <w:pStyle w:val="Normal"/>
        <w:rPr/>
      </w:pPr>
      <w:r>
        <w:rPr/>
        <w:t>Право учешћа на Конкурсу имају сва физичка лица са стеченим стручним знањима из области архитектуре и пејзажне архитектуре, без обзира на њихову територијалну припадност и њихове личне особине, као и правна лица која именују лице са стеченом високом стручном спремом из наведених области. Доказ о стеченом стручном звању је фотокопија дипломе високошколске установе приложена уз документацију на конкурсу.</w:t>
      </w:r>
    </w:p>
    <w:p>
      <w:pPr>
        <w:pStyle w:val="Normal"/>
        <w:rPr/>
      </w:pPr>
      <w:r>
        <w:rPr/>
        <w:t>Учесници Конкурса имају слободу да у своје тимове укључе и стручњаке из других струка у циљу унапређења конкурсног решења, као и студенте завршних година са факултета из области архитектуре и пејзажне архитектуре.</w:t>
      </w:r>
    </w:p>
    <w:p>
      <w:pPr>
        <w:pStyle w:val="Normal"/>
        <w:rPr/>
      </w:pPr>
      <w:r>
        <w:rPr/>
        <w:t>Учесник на Конкурсу не може бити лице које је непосредно ангажовано на припреми и спровођењу Конкурса, односно уколико је у сродству или непосредно сарађује са истим, као ни лице које је у управи или је запослено код органа који расписује Конкурс.</w:t>
      </w:r>
    </w:p>
    <w:p>
      <w:pPr>
        <w:pStyle w:val="Normal"/>
        <w:rPr/>
      </w:pPr>
      <w:r>
        <w:rPr/>
        <w:t>Учесник Конкурса је анонимно физичко или правно лице или више њих, које је преузело конкурсну документацију, израдило и предало конкурсни рад.</w:t>
      </w:r>
    </w:p>
    <w:p>
      <w:pPr>
        <w:pStyle w:val="Normal"/>
        <w:rPr/>
      </w:pPr>
      <w:r>
        <w:rPr/>
        <w:t>Сваки учесник конкурса који је преузео конкурсну документацију стиче право учешћа на конкурсу. Сваки од учесника конкурса, појединац или група, има право учешћа само са једним радом.</w:t>
      </w:r>
    </w:p>
    <w:p>
      <w:pPr>
        <w:pStyle w:val="Normal"/>
        <w:rPr/>
      </w:pPr>
      <w:r>
        <w:rPr/>
        <w:t>Предајом рада сваки учесник прихвата пропозиције конкурса.</w:t>
      </w:r>
    </w:p>
    <w:p>
      <w:pPr>
        <w:pStyle w:val="Normal"/>
        <w:rPr/>
      </w:pPr>
      <w:r>
        <w:rPr/>
      </w:r>
    </w:p>
    <w:p>
      <w:pPr>
        <w:pStyle w:val="Heading1"/>
        <w:rPr/>
      </w:pPr>
      <w:bookmarkStart w:id="1" w:name="_Toc70010138"/>
      <w:r>
        <w:rPr/>
        <w:t>Састав Жирија и Известиоци</w:t>
      </w:r>
      <w:bookmarkEnd w:id="1"/>
    </w:p>
    <w:p>
      <w:pPr>
        <w:pStyle w:val="Normal"/>
        <w:rPr>
          <w:b/>
          <w:b/>
          <w:szCs w:val="24"/>
        </w:rPr>
      </w:pPr>
      <w:r>
        <w:rPr>
          <w:b/>
          <w:szCs w:val="24"/>
        </w:rPr>
        <w:t xml:space="preserve">Састав Жирија: </w:t>
      </w:r>
    </w:p>
    <w:p>
      <w:pPr>
        <w:pStyle w:val="Normal"/>
        <w:rPr>
          <w:szCs w:val="24"/>
        </w:rPr>
      </w:pPr>
      <w:r>
        <w:rPr>
          <w:szCs w:val="24"/>
        </w:rPr>
        <w:t>1.</w:t>
        <w:tab/>
        <w:t xml:space="preserve">Иван Рашковић, дипл.инж.арх., редовни професор на Архитектонском факултету у Београду, представник Удружења архитеката Србије, члан – </w:t>
      </w:r>
      <w:r>
        <w:rPr>
          <w:b/>
          <w:szCs w:val="24"/>
        </w:rPr>
        <w:t>председник Жирија</w:t>
      </w:r>
      <w:r>
        <w:rPr>
          <w:szCs w:val="24"/>
        </w:rPr>
        <w:t>;</w:t>
      </w:r>
    </w:p>
    <w:p>
      <w:pPr>
        <w:pStyle w:val="Normal"/>
        <w:rPr>
          <w:szCs w:val="24"/>
        </w:rPr>
      </w:pPr>
      <w:r>
        <w:rPr>
          <w:szCs w:val="24"/>
        </w:rPr>
        <w:t>2.</w:t>
        <w:tab/>
        <w:t xml:space="preserve">Иван Стојановић, дипл.инж.арх., Главни урбаниста града Зајечара, представник наручиоца – расписивача Конкурса, члан – </w:t>
      </w:r>
      <w:r>
        <w:rPr>
          <w:b/>
          <w:szCs w:val="24"/>
        </w:rPr>
        <w:t>заменик председника Жирија</w:t>
      </w:r>
      <w:r>
        <w:rPr>
          <w:szCs w:val="24"/>
        </w:rPr>
        <w:t>;</w:t>
      </w:r>
    </w:p>
    <w:p>
      <w:pPr>
        <w:pStyle w:val="Normal"/>
        <w:rPr>
          <w:szCs w:val="24"/>
        </w:rPr>
      </w:pPr>
      <w:r>
        <w:rPr>
          <w:szCs w:val="24"/>
        </w:rPr>
        <w:t>3.</w:t>
        <w:tab/>
        <w:t xml:space="preserve">Бранимир Ћирић, дипл.инж.арх., председник Друштва архитеката Ниша, представник спроводиоца Конкурса, </w:t>
      </w:r>
      <w:r>
        <w:rPr>
          <w:b/>
          <w:szCs w:val="24"/>
        </w:rPr>
        <w:t>члан Жирија</w:t>
      </w:r>
      <w:r>
        <w:rPr>
          <w:szCs w:val="24"/>
        </w:rPr>
        <w:t>;</w:t>
      </w:r>
    </w:p>
    <w:p>
      <w:pPr>
        <w:pStyle w:val="Normal"/>
        <w:rPr>
          <w:szCs w:val="24"/>
        </w:rPr>
      </w:pPr>
      <w:r>
        <w:rPr>
          <w:szCs w:val="24"/>
        </w:rPr>
        <w:t>4.</w:t>
        <w:tab/>
        <w:t xml:space="preserve">Др Љиљана Василевска, дипл.инж.арх., редовни професор на Грађевинско-архитектонском факултету у Нишу, </w:t>
      </w:r>
      <w:r>
        <w:rPr>
          <w:b/>
          <w:szCs w:val="24"/>
        </w:rPr>
        <w:t>члан Жирија</w:t>
      </w:r>
      <w:r>
        <w:rPr>
          <w:szCs w:val="24"/>
        </w:rPr>
        <w:t>;</w:t>
      </w:r>
    </w:p>
    <w:p>
      <w:pPr>
        <w:pStyle w:val="Normal"/>
        <w:rPr>
          <w:szCs w:val="24"/>
        </w:rPr>
      </w:pPr>
      <w:r>
        <w:rPr>
          <w:szCs w:val="24"/>
        </w:rPr>
        <w:t>5.</w:t>
        <w:tab/>
        <w:t xml:space="preserve">Милијана Петковић Костић, дипл.инж.пејз.арх., одговорни урбаниста, представник регионалног центра ИКС-а Ниш, </w:t>
      </w:r>
      <w:r>
        <w:rPr>
          <w:b/>
          <w:szCs w:val="24"/>
        </w:rPr>
        <w:t>члан Жирија</w:t>
      </w:r>
      <w:r>
        <w:rPr>
          <w:szCs w:val="24"/>
        </w:rPr>
        <w:t>.</w:t>
      </w:r>
    </w:p>
    <w:p>
      <w:pPr>
        <w:pStyle w:val="Normal"/>
        <w:rPr>
          <w:b/>
          <w:b/>
          <w:szCs w:val="24"/>
        </w:rPr>
      </w:pPr>
      <w:r>
        <w:rPr>
          <w:b/>
          <w:szCs w:val="24"/>
        </w:rPr>
        <w:t>Заменик члана Жирија:</w:t>
      </w:r>
    </w:p>
    <w:p>
      <w:pPr>
        <w:pStyle w:val="ListParagraph"/>
        <w:numPr>
          <w:ilvl w:val="0"/>
          <w:numId w:val="3"/>
        </w:numPr>
        <w:rPr>
          <w:szCs w:val="24"/>
        </w:rPr>
      </w:pPr>
      <w:r>
        <w:rPr>
          <w:szCs w:val="24"/>
        </w:rPr>
        <w:t>Јасмина Басалић,  дипл.инж.пејз.арх., ЈКП “Тимок-одржавање” Зајечар.</w:t>
      </w:r>
    </w:p>
    <w:p>
      <w:pPr>
        <w:pStyle w:val="ListParagraph"/>
        <w:ind w:left="1080" w:hanging="0"/>
        <w:rPr>
          <w:szCs w:val="24"/>
        </w:rPr>
      </w:pPr>
      <w:r>
        <w:rPr>
          <w:szCs w:val="24"/>
        </w:rPr>
      </w:r>
    </w:p>
    <w:p>
      <w:pPr>
        <w:pStyle w:val="Normal"/>
        <w:rPr>
          <w:b/>
          <w:b/>
          <w:szCs w:val="24"/>
        </w:rPr>
      </w:pPr>
      <w:r>
        <w:rPr>
          <w:b/>
          <w:szCs w:val="24"/>
        </w:rPr>
        <w:t>Известиоци жирија:</w:t>
      </w:r>
    </w:p>
    <w:p>
      <w:pPr>
        <w:pStyle w:val="Normal"/>
        <w:rPr>
          <w:szCs w:val="24"/>
        </w:rPr>
      </w:pPr>
      <w:r>
        <w:rPr>
          <w:szCs w:val="24"/>
        </w:rPr>
        <w:t>1.</w:t>
        <w:tab/>
        <w:t>Катарина Медар, маст.инж.арх., представник Друштва архитеката Ниша;</w:t>
      </w:r>
    </w:p>
    <w:p>
      <w:pPr>
        <w:pStyle w:val="Normal"/>
        <w:rPr>
          <w:szCs w:val="24"/>
        </w:rPr>
      </w:pPr>
      <w:r>
        <w:rPr>
          <w:szCs w:val="24"/>
        </w:rPr>
        <w:t>2.</w:t>
        <w:tab/>
        <w:t>Лидија Петковић-Нинић, дипл.инж.пејз.арх., Одељење за урбанизам, грађевинске и комунално-стамбене послове Градске управе града Зајечара.</w:t>
      </w:r>
    </w:p>
    <w:p>
      <w:pPr>
        <w:pStyle w:val="Normal"/>
        <w:rPr>
          <w:sz w:val="23"/>
          <w:szCs w:val="23"/>
        </w:rPr>
      </w:pPr>
      <w:r>
        <w:rPr>
          <w:sz w:val="23"/>
          <w:szCs w:val="23"/>
        </w:rPr>
      </w:r>
    </w:p>
    <w:p>
      <w:pPr>
        <w:pStyle w:val="Heading1"/>
        <w:rPr/>
      </w:pPr>
      <w:bookmarkStart w:id="2" w:name="_Toc70010139"/>
      <w:r>
        <w:rPr/>
        <w:t>Обавезе Наручиоца-расписивача према одлуци жирија</w:t>
      </w:r>
      <w:bookmarkEnd w:id="2"/>
    </w:p>
    <w:p>
      <w:pPr>
        <w:pStyle w:val="Normal"/>
        <w:rPr/>
      </w:pPr>
      <w:r>
        <w:rPr/>
        <w:t>Наручилац ће прихватити сваку одлуку Жирија донесену у складу са Правилником о начину и поступку за расписивање и спровођење урбанистичко-архитектонског конкурса („Сл. Гласник РС“, број 31/2015) и засновану на професионалним и етичким начелима рада.</w:t>
      </w:r>
    </w:p>
    <w:p>
      <w:pPr>
        <w:pStyle w:val="Normal"/>
        <w:rPr/>
      </w:pPr>
      <w:r>
        <w:rPr/>
      </w:r>
    </w:p>
    <w:p>
      <w:pPr>
        <w:pStyle w:val="Heading1"/>
        <w:rPr/>
      </w:pPr>
      <w:bookmarkStart w:id="3" w:name="_Toc70010142"/>
      <w:r>
        <w:rPr/>
        <w:t>Конкурсни рокови – Рок за предају понуда (Конкурсних радова)</w:t>
      </w:r>
      <w:bookmarkEnd w:id="3"/>
    </w:p>
    <w:p>
      <w:pPr>
        <w:pStyle w:val="Normal"/>
        <w:rPr>
          <w:b/>
          <w:b/>
        </w:rPr>
      </w:pPr>
      <w:r>
        <w:rPr>
          <w:b/>
          <w:u w:val="single"/>
        </w:rPr>
        <w:t>Почетак конкурсног рока / датум оглашавања</w:t>
      </w:r>
      <w:r>
        <w:rPr>
          <w:b/>
        </w:rPr>
        <w:t>: 29.04. (четвртак) 2021. године;</w:t>
      </w:r>
    </w:p>
    <w:p>
      <w:pPr>
        <w:pStyle w:val="Normal"/>
        <w:rPr/>
      </w:pPr>
      <w:r>
        <w:rPr/>
      </w:r>
    </w:p>
    <w:p>
      <w:pPr>
        <w:pStyle w:val="Normal"/>
        <w:rPr/>
      </w:pPr>
      <w:r>
        <w:rPr>
          <w:b/>
          <w:u w:val="single"/>
        </w:rPr>
        <w:t>Рок за предају понуде / конкурсних радова:</w:t>
      </w:r>
      <w:r>
        <w:rPr>
          <w:b/>
        </w:rPr>
        <w:t>01.07. (четвртак) 2021. године</w:t>
        <w:tab/>
      </w:r>
      <w:r>
        <w:rPr/>
        <w:t xml:space="preserve">  Радови се морају предати најкасније до 14:00 часова, без обзира на начин предаје (непосредно или поштом) на адреси Наручиоца , Градска управа града Зајечара, Трг ослобођења 1, 19000 Зајечар</w:t>
      </w:r>
    </w:p>
    <w:p>
      <w:pPr>
        <w:pStyle w:val="Normal"/>
        <w:rPr/>
      </w:pPr>
      <w:r>
        <w:rPr/>
      </w:r>
    </w:p>
    <w:p>
      <w:pPr>
        <w:pStyle w:val="Normal"/>
        <w:rPr/>
      </w:pPr>
      <w:r>
        <w:rPr>
          <w:b/>
          <w:u w:val="single"/>
        </w:rPr>
        <w:t>Отварање конкурсних радова и почетак рада известиоца</w:t>
      </w:r>
      <w:r>
        <w:rPr>
          <w:b/>
        </w:rPr>
        <w:t>: 02.07. (петак) 2021. године</w:t>
      </w:r>
      <w:r>
        <w:rPr/>
        <w:t>;</w:t>
      </w:r>
    </w:p>
    <w:p>
      <w:pPr>
        <w:pStyle w:val="Normal"/>
        <w:rPr/>
      </w:pPr>
      <w:r>
        <w:rPr/>
      </w:r>
    </w:p>
    <w:p>
      <w:pPr>
        <w:pStyle w:val="Normal"/>
        <w:rPr>
          <w:b/>
          <w:b/>
        </w:rPr>
      </w:pPr>
      <w:r>
        <w:rPr>
          <w:b/>
          <w:u w:val="single"/>
        </w:rPr>
        <w:t>Почетак рада жирија</w:t>
      </w:r>
      <w:r>
        <w:rPr>
          <w:b/>
        </w:rPr>
        <w:t>: 10.07. (субота) 2021. године;</w:t>
      </w:r>
    </w:p>
    <w:p>
      <w:pPr>
        <w:pStyle w:val="Normal"/>
        <w:rPr/>
      </w:pPr>
      <w:r>
        <w:rPr/>
      </w:r>
    </w:p>
    <w:p>
      <w:pPr>
        <w:pStyle w:val="Normal"/>
        <w:rPr>
          <w:b/>
          <w:b/>
        </w:rPr>
      </w:pPr>
      <w:r>
        <w:rPr>
          <w:b/>
          <w:u w:val="single"/>
        </w:rPr>
        <w:t xml:space="preserve">Објављивање резултата конкурса и извештаја рада Жирија: </w:t>
      </w:r>
      <w:r>
        <w:rPr>
          <w:b/>
        </w:rPr>
        <w:t xml:space="preserve">16.07. (петак) 2021. године </w:t>
      </w:r>
    </w:p>
    <w:p>
      <w:pPr>
        <w:pStyle w:val="Normal"/>
        <w:rPr/>
      </w:pPr>
      <w:r>
        <w:rPr/>
        <w:t xml:space="preserve">Резултати конкурса ће бити објављени на Порталу јавних набавки </w:t>
      </w:r>
      <w:r>
        <w:rPr>
          <w:u w:val="single"/>
        </w:rPr>
        <w:t>https://jnportal.ujn.gov.rs/</w:t>
      </w:r>
      <w:r>
        <w:rPr/>
        <w:t xml:space="preserve">, интернет страници Града Зајечара </w:t>
      </w:r>
      <w:r>
        <w:rPr>
          <w:u w:val="single"/>
        </w:rPr>
        <w:t>http://www.zajecar.info/</w:t>
      </w:r>
      <w:r>
        <w:rPr/>
        <w:t xml:space="preserve"> и интернет страници спроводиоца конкурса </w:t>
      </w:r>
      <w:r>
        <w:rPr>
          <w:u w:val="single"/>
        </w:rPr>
        <w:t>https://www.dan.org.rs/</w:t>
      </w:r>
      <w:r>
        <w:rPr/>
        <w:t>.</w:t>
      </w:r>
    </w:p>
    <w:p>
      <w:pPr>
        <w:pStyle w:val="Normal"/>
        <w:rPr/>
      </w:pPr>
      <w:r>
        <w:rPr/>
      </w:r>
    </w:p>
    <w:p>
      <w:pPr>
        <w:pStyle w:val="Normal"/>
        <w:rPr/>
      </w:pPr>
      <w:r>
        <w:rPr/>
        <w:t>Излагање конкурсних радова и јавна дискусија о резултатима конкурса биће организована у термину накнадно одређеном од стране наручиоца - Расписивача.</w:t>
      </w:r>
    </w:p>
    <w:p>
      <w:pPr>
        <w:pStyle w:val="Normal"/>
        <w:rPr/>
      </w:pPr>
      <w:r>
        <w:rPr/>
        <w:t>O термину за подизање ненаграђених радова учесници ће бити обавештени на интернет страници Наручиоца.</w:t>
      </w:r>
    </w:p>
    <w:p>
      <w:pPr>
        <w:pStyle w:val="Normal"/>
        <w:rPr/>
      </w:pPr>
      <w:r>
        <w:rPr/>
      </w:r>
    </w:p>
    <w:p>
      <w:pPr>
        <w:pStyle w:val="Heading1"/>
        <w:rPr/>
      </w:pPr>
      <w:bookmarkStart w:id="4" w:name="_Toc70010143"/>
      <w:r>
        <w:rPr/>
        <w:t>Садржај конкурсног рада</w:t>
      </w:r>
      <w:bookmarkEnd w:id="4"/>
    </w:p>
    <w:p>
      <w:pPr>
        <w:pStyle w:val="Normal"/>
        <w:rPr/>
      </w:pPr>
      <w:r>
        <w:rPr/>
        <w:t>Сви учесници су обавезни да у оквиру конкурса доставе следећу документацију:</w:t>
      </w:r>
    </w:p>
    <w:p>
      <w:pPr>
        <w:pStyle w:val="Normal"/>
        <w:rPr>
          <w:b/>
          <w:b/>
        </w:rPr>
      </w:pPr>
      <w:r>
        <w:rPr>
          <w:b/>
        </w:rPr>
        <w:t xml:space="preserve">- Коверта “Аутор” (Изјава - Образац бр. 2 и фотокопија дипломе) </w:t>
      </w:r>
    </w:p>
    <w:p>
      <w:pPr>
        <w:pStyle w:val="Normal"/>
        <w:rPr>
          <w:b/>
          <w:b/>
        </w:rPr>
      </w:pPr>
      <w:r>
        <w:rPr>
          <w:b/>
        </w:rPr>
        <w:t>- Коверта ”Контакт” (Детаљи за повраћај рада – Образац бр. 3)</w:t>
      </w:r>
    </w:p>
    <w:p>
      <w:pPr>
        <w:pStyle w:val="Normal"/>
        <w:rPr>
          <w:b/>
          <w:b/>
        </w:rPr>
      </w:pPr>
      <w:r>
        <w:rPr>
          <w:b/>
        </w:rPr>
        <w:t>- Лист са списком свих прилога - Образац бр. 4</w:t>
      </w:r>
    </w:p>
    <w:p>
      <w:pPr>
        <w:pStyle w:val="Normal"/>
        <w:rPr/>
      </w:pPr>
      <w:r>
        <w:rPr>
          <w:b/>
        </w:rPr>
        <w:t>- Конкурсни рад</w:t>
      </w:r>
      <w:r>
        <w:rPr/>
        <w:t xml:space="preserve"> који учесник предаје на вредновање жирију садржи идејно решење и састоји се од следећих прилога у аналогном и дигиталном облику:</w:t>
      </w:r>
    </w:p>
    <w:p>
      <w:pPr>
        <w:pStyle w:val="Normal"/>
        <w:rPr/>
      </w:pPr>
      <w:r>
        <w:rPr>
          <w:b/>
        </w:rPr>
        <w:t>1. ТЕКСТУАЛНИ ДЕО</w:t>
      </w:r>
      <w:r>
        <w:rPr/>
        <w:t xml:space="preserve"> / Текстуално образложење предложеног решења објекта у 7 примерака на А4 формату (5 за чланове жирија и 2 за известиоце) са:</w:t>
      </w:r>
    </w:p>
    <w:p>
      <w:pPr>
        <w:pStyle w:val="ListParagraph"/>
        <w:numPr>
          <w:ilvl w:val="0"/>
          <w:numId w:val="1"/>
        </w:numPr>
        <w:rPr/>
      </w:pPr>
      <w:r>
        <w:rPr/>
        <w:t>техничким описом (максимум 7 листова) који садржи опис:</w:t>
      </w:r>
    </w:p>
    <w:p>
      <w:pPr>
        <w:pStyle w:val="Normal"/>
        <w:rPr/>
      </w:pPr>
      <w:r>
        <w:rPr/>
        <w:tab/>
        <w:t>- урбанистичко-архитектонског концепта;</w:t>
      </w:r>
    </w:p>
    <w:p>
      <w:pPr>
        <w:pStyle w:val="Normal"/>
        <w:rPr/>
      </w:pPr>
      <w:r>
        <w:rPr/>
        <w:tab/>
        <w:t>- функционалне организације простора и кретања у простору;</w:t>
      </w:r>
    </w:p>
    <w:p>
      <w:pPr>
        <w:pStyle w:val="Normal"/>
        <w:rPr/>
      </w:pPr>
      <w:r>
        <w:rPr/>
        <w:tab/>
        <w:t>- концепције пешачких комуникација и третмана саобраћајних површина;</w:t>
      </w:r>
    </w:p>
    <w:p>
      <w:pPr>
        <w:pStyle w:val="Normal"/>
        <w:rPr/>
      </w:pPr>
      <w:r>
        <w:rPr/>
        <w:tab/>
        <w:t>- система расвете и имплементираног урбаног мобилијара;</w:t>
      </w:r>
    </w:p>
    <w:p>
      <w:pPr>
        <w:pStyle w:val="Normal"/>
        <w:rPr/>
      </w:pPr>
      <w:r>
        <w:rPr/>
        <w:tab/>
        <w:t>- примењених материјала обраде;</w:t>
      </w:r>
    </w:p>
    <w:p>
      <w:pPr>
        <w:pStyle w:val="Normal"/>
        <w:rPr/>
      </w:pPr>
      <w:r>
        <w:rPr/>
        <w:tab/>
        <w:t>- примењених партерних зелених површина и високог зеленила;</w:t>
      </w:r>
    </w:p>
    <w:p>
      <w:pPr>
        <w:pStyle w:val="Normal"/>
        <w:rPr/>
      </w:pPr>
      <w:r>
        <w:rPr/>
        <w:tab/>
        <w:t>- специфичности коришћења и одржавања предметног простора.</w:t>
      </w:r>
    </w:p>
    <w:p>
      <w:pPr>
        <w:pStyle w:val="ListParagraph"/>
        <w:numPr>
          <w:ilvl w:val="0"/>
          <w:numId w:val="1"/>
        </w:numPr>
        <w:rPr/>
      </w:pPr>
      <w:r>
        <w:rPr/>
        <w:t>оквирном проценом потребног улагања;</w:t>
      </w:r>
    </w:p>
    <w:p>
      <w:pPr>
        <w:pStyle w:val="ListParagraph"/>
        <w:numPr>
          <w:ilvl w:val="0"/>
          <w:numId w:val="1"/>
        </w:numPr>
        <w:rPr/>
      </w:pPr>
      <w:r>
        <w:rPr/>
        <w:t>умањеним графичким прилозима</w:t>
      </w:r>
      <w:bookmarkStart w:id="5" w:name="_GoBack"/>
      <w:bookmarkEnd w:id="5"/>
      <w:r>
        <w:rPr/>
        <w:t xml:space="preserve"> на А4 или А3 (склопљени на А4) формату.</w:t>
      </w:r>
    </w:p>
    <w:p>
      <w:pPr>
        <w:pStyle w:val="Normal"/>
        <w:rPr/>
      </w:pPr>
      <w:r>
        <w:rPr/>
      </w:r>
    </w:p>
    <w:p>
      <w:pPr>
        <w:pStyle w:val="Normal"/>
        <w:rPr/>
      </w:pPr>
      <w:r>
        <w:rPr>
          <w:b/>
        </w:rPr>
        <w:t>2. ГРАФИЧКИ ДЕО</w:t>
      </w:r>
      <w:r>
        <w:rPr/>
        <w:t xml:space="preserve"> / у једном примерку на више паноа формата </w:t>
      </w:r>
      <w:r>
        <w:rPr>
          <w:b/>
        </w:rPr>
        <w:t>100 х 70 cm</w:t>
      </w:r>
      <w:r>
        <w:rPr/>
        <w:t xml:space="preserve"> (могуће је дати више приказа на једном паноу). каширан. Све паное треба оријентисати </w:t>
      </w:r>
      <w:r>
        <w:rPr>
          <w:b/>
        </w:rPr>
        <w:t>хоризонтално и каширати</w:t>
      </w:r>
      <w:r>
        <w:rPr/>
        <w:t>. Графички део треба да садржи:</w:t>
      </w:r>
    </w:p>
    <w:p>
      <w:pPr>
        <w:pStyle w:val="ListParagraph"/>
        <w:numPr>
          <w:ilvl w:val="0"/>
          <w:numId w:val="2"/>
        </w:numPr>
        <w:rPr/>
      </w:pPr>
      <w:r>
        <w:rPr/>
        <w:t>Предлог урбанистичко-архитектонског решења са приказом диспозиције планираних површина (улични коридори, трг, пешачка зона, пешачке комуникације, парк итд.) са начином обраде свих партерних површина, у размери</w:t>
      </w:r>
      <w:r>
        <w:rPr>
          <w:b/>
        </w:rPr>
        <w:t>Р=1:500</w:t>
      </w:r>
      <w:r>
        <w:rPr/>
        <w:t>;</w:t>
      </w:r>
    </w:p>
    <w:p>
      <w:pPr>
        <w:pStyle w:val="ListParagraph"/>
        <w:numPr>
          <w:ilvl w:val="0"/>
          <w:numId w:val="2"/>
        </w:numPr>
        <w:rPr/>
      </w:pPr>
      <w:r>
        <w:rPr/>
        <w:t>Предлог партерног уређења</w:t>
      </w:r>
      <w:r>
        <w:rPr>
          <w:b/>
        </w:rPr>
        <w:t>Сегмента 1</w:t>
      </w:r>
      <w:r>
        <w:rPr/>
        <w:t xml:space="preserve">са елементима који дефинишу дизајн и материјализацију, урбани мобилијар, декоративне урбане елементе, декоративну расвету, нивелацију и регулацију, са потребним пресецима и изгледима, све у размери </w:t>
      </w:r>
      <w:r>
        <w:rPr>
          <w:b/>
        </w:rPr>
        <w:t>Р=1:333</w:t>
      </w:r>
      <w:r>
        <w:rPr/>
        <w:t xml:space="preserve"> и детаљима у размери по избору;</w:t>
      </w:r>
    </w:p>
    <w:p>
      <w:pPr>
        <w:pStyle w:val="ListParagraph"/>
        <w:numPr>
          <w:ilvl w:val="0"/>
          <w:numId w:val="2"/>
        </w:numPr>
        <w:rPr/>
      </w:pPr>
      <w:r>
        <w:rPr/>
        <w:t xml:space="preserve">Предлог партерног уређења </w:t>
      </w:r>
      <w:r>
        <w:rPr>
          <w:b/>
        </w:rPr>
        <w:t>Сегмента 2</w:t>
      </w:r>
      <w:r>
        <w:rPr/>
        <w:t xml:space="preserve"> са елементима који дефинишу дизајн и материјализацију, урбани мобилијар, декоративне урбане елементе, декоративну расвету, нивелацију и регулацију, са потребним пресецима и изгледима, све у размери </w:t>
      </w:r>
      <w:r>
        <w:rPr>
          <w:b/>
        </w:rPr>
        <w:t>Р=1:333</w:t>
      </w:r>
      <w:r>
        <w:rPr/>
        <w:t xml:space="preserve"> и детаљима у размери по избору;</w:t>
      </w:r>
    </w:p>
    <w:p>
      <w:pPr>
        <w:pStyle w:val="ListParagraph"/>
        <w:numPr>
          <w:ilvl w:val="0"/>
          <w:numId w:val="2"/>
        </w:numPr>
        <w:rPr/>
      </w:pPr>
      <w:r>
        <w:rPr/>
        <w:t>Предлог пејзажног уређења, врсте декоративног зеленила и садног материјала на јавним зеленим површинамау размери</w:t>
      </w:r>
      <w:r>
        <w:rPr>
          <w:b/>
        </w:rPr>
        <w:t>Р=1:500</w:t>
      </w:r>
      <w:r>
        <w:rPr/>
        <w:t>;</w:t>
      </w:r>
    </w:p>
    <w:p>
      <w:pPr>
        <w:pStyle w:val="ListParagraph"/>
        <w:numPr>
          <w:ilvl w:val="0"/>
          <w:numId w:val="2"/>
        </w:numPr>
        <w:rPr/>
      </w:pPr>
      <w:r>
        <w:rPr/>
        <w:t>Тродимензионални прикази предложеног решења који сагледавају све делове предметне локације и целокупан потез из свих релевантних праваца;</w:t>
      </w:r>
    </w:p>
    <w:p>
      <w:pPr>
        <w:pStyle w:val="ListParagraph"/>
        <w:numPr>
          <w:ilvl w:val="0"/>
          <w:numId w:val="2"/>
        </w:numPr>
        <w:rPr/>
      </w:pPr>
      <w:r>
        <w:rPr/>
        <w:t>Остали прилози који додатно илуструју идејно урбанистичко-архитектонско решење, по избору аутора.</w:t>
      </w:r>
    </w:p>
    <w:p>
      <w:pPr>
        <w:pStyle w:val="ListParagraph"/>
        <w:ind w:left="720" w:hanging="0"/>
        <w:rPr/>
      </w:pPr>
      <w:r>
        <w:rPr/>
      </w:r>
    </w:p>
    <w:p>
      <w:pPr>
        <w:pStyle w:val="Normal"/>
        <w:rPr/>
      </w:pPr>
      <w:r>
        <w:rPr>
          <w:b/>
          <w:bCs/>
        </w:rPr>
        <w:t xml:space="preserve">3. ДИГИТАЛНИ ПРИЛОГ </w:t>
      </w:r>
    </w:p>
    <w:p>
      <w:pPr>
        <w:pStyle w:val="Normal"/>
        <w:rPr/>
      </w:pPr>
      <w:r>
        <w:rPr>
          <w:b/>
          <w:bCs/>
        </w:rPr>
        <w:t xml:space="preserve">Конкурсни рад у целости </w:t>
      </w:r>
      <w:r>
        <w:rPr/>
        <w:t>(</w:t>
      </w:r>
      <w:r>
        <w:rPr>
          <w:b/>
          <w:bCs/>
        </w:rPr>
        <w:t xml:space="preserve">сви прилози) </w:t>
      </w:r>
      <w:r>
        <w:rPr/>
        <w:t>предаје се и у дигиталној форми - компакт диск или USB меморија, за потребе архивирања у складу са Законом о јавним набавкама, као и израде каталога радова. Текстуални део у формату: word и pdf. Графички прилози у формату: dwg и pdf.</w:t>
      </w:r>
    </w:p>
    <w:p>
      <w:pPr>
        <w:pStyle w:val="Normal"/>
        <w:rPr/>
      </w:pPr>
      <w:r>
        <w:rPr/>
        <w:t>У једном pdf фајлу (А4 формат) приказати интегрално цео конкурсни рад за потребе објаве у електронском формату на интернет страни Града Зајечара и спроводиоца конкурса Друштва архитеката Ниша.</w:t>
      </w:r>
    </w:p>
    <w:p>
      <w:pPr>
        <w:pStyle w:val="Normal"/>
        <w:rPr/>
      </w:pPr>
      <w:r>
        <w:rPr/>
        <w:t>Поред наведеног, за потребе израде каталога, потребно је формирати и фолдер “Каталог”, у коме је потребно издвојити одабране прилоге у резолуцији 300dpi (најзначајнији 3д прикази и графички прикази који најбоље илуструју рад, по избору Учесника).</w:t>
      </w:r>
    </w:p>
    <w:p>
      <w:pPr>
        <w:pStyle w:val="Normal"/>
        <w:rPr/>
      </w:pPr>
      <w:r>
        <w:rPr>
          <w:b/>
        </w:rPr>
        <w:t xml:space="preserve">Важна напомена: </w:t>
      </w:r>
      <w:r>
        <w:rPr/>
        <w:t>Приликом нарезивања дигиталних прилога водити рачуна да на документима не буде ознака које би могле да наруше анонимност радова.</w:t>
      </w:r>
    </w:p>
    <w:p>
      <w:pPr>
        <w:pStyle w:val="Normal"/>
        <w:rPr/>
      </w:pPr>
      <w:r>
        <w:rPr/>
        <w:t>Учесник може предати само један конкурсни рад.</w:t>
      </w:r>
    </w:p>
    <w:p>
      <w:pPr>
        <w:pStyle w:val="Normal"/>
        <w:rPr/>
      </w:pPr>
      <w:r>
        <w:rPr/>
        <w:t>Конкурсни рад садржи једно решење, варијанте решења нису дозвољене.</w:t>
      </w:r>
    </w:p>
    <w:p>
      <w:pPr>
        <w:pStyle w:val="Normal"/>
        <w:rPr/>
      </w:pPr>
      <w:r>
        <w:rPr/>
        <w:t>Конкурсни рад се састоји од одређених прилога у аналогном и дигиталном облику, а чија је садржина ближе објашњена у Садржају конкурсног рада ове конкурсне документације. Конкурсни рад не сме да садржи податке којим би се прекршила анонимност.</w:t>
      </w:r>
    </w:p>
    <w:p>
      <w:pPr>
        <w:pStyle w:val="Normal"/>
        <w:rPr/>
      </w:pPr>
      <w:r>
        <w:rPr/>
      </w:r>
    </w:p>
    <w:p>
      <w:pPr>
        <w:pStyle w:val="Normal"/>
        <w:rPr>
          <w:b/>
          <w:b/>
          <w:i/>
          <w:i/>
        </w:rPr>
      </w:pPr>
      <w:r>
        <w:rPr>
          <w:b/>
          <w:i/>
        </w:rPr>
        <w:t>ОЗНАЧАВАЊЕ КОНКУРСНОГ РАДА</w:t>
      </w:r>
    </w:p>
    <w:p>
      <w:pPr>
        <w:pStyle w:val="Normal"/>
        <w:rPr/>
      </w:pPr>
      <w:r>
        <w:rPr/>
        <w:t>Сви прилози морају бити означени истоветном шифром рада од пет бројева на следећи начин:</w:t>
      </w:r>
    </w:p>
    <w:p>
      <w:pPr>
        <w:pStyle w:val="Normal"/>
        <w:rPr/>
      </w:pPr>
      <w:r>
        <w:rPr/>
        <w:t>- текстуални прилози – свака страница треба да садржи шифру у горњем десном углу – фонт Тimes New Roman, величина 12,</w:t>
      </w:r>
    </w:p>
    <w:p>
      <w:pPr>
        <w:pStyle w:val="Normal"/>
        <w:rPr/>
      </w:pPr>
      <w:r>
        <w:rPr/>
        <w:t>- графички прилози - сваки плакат треба да садржи шифру у горњем десном углу – фонт Тimes New Roman, величина 28,</w:t>
      </w:r>
    </w:p>
    <w:p>
      <w:pPr>
        <w:pStyle w:val="Normal"/>
        <w:rPr/>
      </w:pPr>
      <w:r>
        <w:rPr/>
        <w:t>- дигитални – све прилоге именовати на начин: Шифра_ИмеПрилога,</w:t>
      </w:r>
    </w:p>
    <w:p>
      <w:pPr>
        <w:pStyle w:val="Normal"/>
        <w:rPr/>
      </w:pPr>
      <w:r>
        <w:rPr/>
        <w:t>- коверте Аутор и Контакт морају бити означене лепњењем папира који садржи шифру у фонту Тimes New Roman, величина 28,</w:t>
      </w:r>
    </w:p>
    <w:p>
      <w:pPr>
        <w:pStyle w:val="Normal"/>
        <w:rPr/>
      </w:pPr>
      <w:r>
        <w:rPr/>
        <w:t>- обрасци се означавају уписивањем шифре на предвиђеном месту.</w:t>
      </w:r>
    </w:p>
    <w:p>
      <w:pPr>
        <w:pStyle w:val="Normal"/>
        <w:rPr/>
      </w:pPr>
      <w:r>
        <w:rPr/>
        <w:t>Текстуални и графички прилози треба да буду означени и редним бројевима у доњем десном углу.</w:t>
      </w:r>
    </w:p>
    <w:p>
      <w:pPr>
        <w:pStyle w:val="ListParagraph"/>
        <w:ind w:left="720" w:hanging="0"/>
        <w:rPr/>
      </w:pPr>
      <w:r>
        <w:rPr/>
      </w:r>
    </w:p>
    <w:p>
      <w:pPr>
        <w:pStyle w:val="Heading1"/>
        <w:rPr/>
      </w:pPr>
      <w:bookmarkStart w:id="6" w:name="_Toc70010144"/>
      <w:r>
        <w:rPr/>
        <w:t>Начин за предају дизајна, односно подношење понуде</w:t>
      </w:r>
      <w:bookmarkEnd w:id="6"/>
    </w:p>
    <w:p>
      <w:pPr>
        <w:pStyle w:val="Normal"/>
        <w:rPr/>
      </w:pPr>
      <w:r>
        <w:rPr/>
        <w:t xml:space="preserve">Понуда се сматра благовременом ако је примљена на адресу расписивача конкурса: Трг ослобођења бр. 1, 19000 Зајечар), најкасније до </w:t>
      </w:r>
      <w:r>
        <w:rPr>
          <w:b/>
        </w:rPr>
        <w:t>01</w:t>
      </w:r>
      <w:r>
        <w:rPr>
          <w:b/>
          <w:bCs/>
        </w:rPr>
        <w:t>.07.2021. године</w:t>
      </w:r>
      <w:r>
        <w:rPr/>
        <w:t xml:space="preserve">, до </w:t>
      </w:r>
      <w:r>
        <w:rPr>
          <w:b/>
          <w:bCs/>
        </w:rPr>
        <w:t>14:00 часова</w:t>
      </w:r>
      <w:r>
        <w:rPr/>
        <w:t xml:space="preserve">, непосредно или путем поште. </w:t>
      </w:r>
    </w:p>
    <w:p>
      <w:pPr>
        <w:pStyle w:val="Normal"/>
        <w:rPr/>
      </w:pPr>
      <w:r>
        <w:rPr/>
        <w:t>Понуђач (Учесник конкурса) понуду подноси непосредно или путем поште у непрозирној затвореној коверти или кутији, затворенoj на начин да се приликом отварања понуда може са сигурношћу утврдити да се први пут отвара, на коју понуђач лепи попуњен Образац бр. 1. из конкурсне документације.</w:t>
      </w:r>
    </w:p>
    <w:p>
      <w:pPr>
        <w:pStyle w:val="Normal"/>
        <w:rPr/>
      </w:pPr>
      <w:r>
        <w:rPr/>
        <w:t>У поступку конкурса за дизајн мора се поштовати анонимност. Понуђачи (Учесници) конкурса су анонимни до објављивања резултата конкурса. Анонимност се нарочито обезбеђује забраном изношења претпоставки о идентитету учесника конкурса. Ова забрана се односи на сва лица која учествују у поступку како код Наручиоца - Расписивача конкурса, спроводиоца, чланова жирија, тако и међу учесницима конкурса.</w:t>
      </w:r>
    </w:p>
    <w:p>
      <w:pPr>
        <w:pStyle w:val="Normal"/>
        <w:rPr/>
      </w:pPr>
      <w:r>
        <w:rPr/>
        <w:t>Лице задужено за пријем понуде (референт) је дужно да, приликом пријема понуде, без одлагања, на коверти, односно кутији у којој се понуда налази, обележи датум и време пријема и да у деловодној документацији евидентира шифру конкурсног рада, број и датум понуде према редоследу приспећа. Уколико референт уочи неправилности приликом пријема понуде (нпр. понуда није означена као понуда па је отворена, достављена је отворена или оштећена коверта и сл.), дужан је да о томе сачини писану службену белешку и достави је члановима жирија.</w:t>
      </w:r>
    </w:p>
    <w:p>
      <w:pPr>
        <w:pStyle w:val="Normal"/>
        <w:rPr/>
      </w:pPr>
      <w:r>
        <w:rPr/>
        <w:t>Примљене понуде чува референт до момента отварања понуда када их предаје жирију, о чему са једним чланом Жирија, сачињава записник о предаји/пријему понуда и о томе обавештава председника Жирија.</w:t>
      </w:r>
    </w:p>
    <w:p>
      <w:pPr>
        <w:pStyle w:val="Normal"/>
        <w:rPr/>
      </w:pPr>
      <w:r>
        <w:rPr/>
        <w:t>Наручилац (Расписивач)/Спроводилац конкурса не одговара за оштећења коверте или кутије настале у транспорту и за неадекватно достављење понуде.</w:t>
      </w:r>
    </w:p>
    <w:p>
      <w:pPr>
        <w:pStyle w:val="Normal"/>
        <w:rPr/>
      </w:pPr>
      <w:r>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pPr>
        <w:pStyle w:val="Normal"/>
        <w:rPr>
          <w:b/>
          <w:b/>
        </w:rPr>
      </w:pPr>
      <w:r>
        <w:rPr>
          <w:b/>
        </w:rPr>
        <w:t>КОМПЛЕТНОМ ПОНУДОМ СМАТРАЋЕ СЕ СВАКА ПОНУДА КОЈА САДРЖИ:</w:t>
      </w:r>
    </w:p>
    <w:p>
      <w:pPr>
        <w:pStyle w:val="Normal"/>
        <w:rPr/>
      </w:pPr>
      <w:r>
        <w:rPr/>
        <w:t xml:space="preserve">1. једну запечаћену коверту или кутију са конкурсним радом </w:t>
      </w:r>
    </w:p>
    <w:p>
      <w:pPr>
        <w:pStyle w:val="Normal"/>
        <w:rPr/>
      </w:pPr>
      <w:r>
        <w:rPr/>
        <w:t xml:space="preserve">2. једну запечаћену коверту са ознаком "АУТОР" која садржи: </w:t>
      </w:r>
    </w:p>
    <w:p>
      <w:pPr>
        <w:pStyle w:val="Normal"/>
        <w:rPr/>
      </w:pPr>
      <w:r>
        <w:rPr/>
        <w:t xml:space="preserve">• </w:t>
      </w:r>
      <w:r>
        <w:rPr/>
        <w:t xml:space="preserve">шифром означену </w:t>
      </w:r>
      <w:r>
        <w:rPr>
          <w:b/>
        </w:rPr>
        <w:t>изјаву</w:t>
      </w:r>
      <w:r>
        <w:rPr/>
        <w:t xml:space="preserve"> Учесника конкурса - аутора/тима аутора о прихватању услова конкурса - попуњену и потписану, (правна лица која учествују у својству учесника обавезно наводе лице овлашћено за заступање) (Образац изјаве је саставни део Расписа – Образац бр. 2)</w:t>
      </w:r>
    </w:p>
    <w:p>
      <w:pPr>
        <w:pStyle w:val="Normal"/>
        <w:rPr/>
      </w:pPr>
      <w:r>
        <w:rPr/>
        <w:t xml:space="preserve">• </w:t>
      </w:r>
      <w:r>
        <w:rPr/>
        <w:t>копију дипломе издату од стране акредитоване високошколске установе као доказ о испуњености услова из Расписа.</w:t>
      </w:r>
    </w:p>
    <w:p>
      <w:pPr>
        <w:pStyle w:val="Normal"/>
        <w:rPr/>
      </w:pPr>
      <w:r>
        <w:rPr>
          <w:bCs/>
        </w:rPr>
        <w:t>3. једну запечаћену коверту са ознаком "KОНТАKТ"</w:t>
      </w:r>
      <w:r>
        <w:rPr/>
        <w:t xml:space="preserve">која садржи податке о адреси на коју се, након конкурса, доставља конкурсни рад (Образац података за повраћај рада је саставни део Расписа - Образац бр. 3). </w:t>
      </w:r>
    </w:p>
    <w:p>
      <w:pPr>
        <w:pStyle w:val="Normal"/>
        <w:rPr/>
      </w:pPr>
      <w:r>
        <w:rPr>
          <w:bCs/>
        </w:rPr>
        <w:t xml:space="preserve">4. лист са списком свих прилога </w:t>
      </w:r>
      <w:r>
        <w:rPr/>
        <w:t>(Образац листа са списком свих прилога је саставни део Расписа - Образац бр. 4).</w:t>
      </w:r>
    </w:p>
    <w:p>
      <w:pPr>
        <w:pStyle w:val="Normal"/>
        <w:rPr>
          <w:bCs/>
        </w:rPr>
      </w:pPr>
      <w:r>
        <w:rPr>
          <w:bCs/>
        </w:rPr>
      </w:r>
    </w:p>
    <w:p>
      <w:pPr>
        <w:pStyle w:val="Normal"/>
        <w:rPr/>
      </w:pPr>
      <w:r>
        <w:rPr>
          <w:b/>
        </w:rPr>
        <w:t>НАПОМЕНА:</w:t>
      </w:r>
      <w:r>
        <w:rPr/>
        <w:t xml:space="preserve"> Понуду је потребно повезати у јединствену целину, непрозирну затворену коверту или кутију (која садржи све саставне делове понуде од 1-4), на коју се лепи попуњен Образац бр. 1. </w:t>
      </w:r>
    </w:p>
    <w:p>
      <w:pPr>
        <w:pStyle w:val="Normal"/>
        <w:rPr/>
      </w:pPr>
      <w:r>
        <w:rPr/>
        <w:t xml:space="preserve">Понуда (Kонкурсни радови) са пописом предате документације предају се до утврђеног рока на објављену адресу, а трошкове предаје сноси понуђач (Учесник конкурса). </w:t>
      </w:r>
    </w:p>
    <w:p>
      <w:pPr>
        <w:pStyle w:val="Normal"/>
        <w:rPr/>
      </w:pPr>
      <w:r>
        <w:rPr/>
      </w:r>
    </w:p>
    <w:p>
      <w:pPr>
        <w:pStyle w:val="Heading1"/>
        <w:rPr/>
      </w:pPr>
      <w:bookmarkStart w:id="7" w:name="_Toc70010145"/>
      <w:r>
        <w:rPr/>
        <w:t>Критеријуми за оцену дизајна, односно пројекта</w:t>
      </w:r>
      <w:bookmarkEnd w:id="7"/>
    </w:p>
    <w:p>
      <w:pPr>
        <w:pStyle w:val="Normal"/>
        <w:rPr/>
      </w:pPr>
      <w:r>
        <w:rPr/>
        <w:t>Радови ће бити вредновани према успешности интерпретације сложених конкурсних задатака наведених у програму конкурса, као и према оригиналном и креативном приступу решењу проблема у конкретним затеченим условима.</w:t>
      </w:r>
    </w:p>
    <w:p>
      <w:pPr>
        <w:pStyle w:val="Normal"/>
        <w:rPr/>
      </w:pPr>
      <w:r>
        <w:rPr/>
        <w:t>Радови ће бити вредновани према следећим критеријумима:</w:t>
      </w:r>
    </w:p>
    <w:tbl>
      <w:tblPr>
        <w:tblStyle w:val="TableGrid"/>
        <w:tblW w:w="9243" w:type="dxa"/>
        <w:jc w:val="left"/>
        <w:tblInd w:w="0" w:type="dxa"/>
        <w:tblCellMar>
          <w:top w:w="0" w:type="dxa"/>
          <w:left w:w="108" w:type="dxa"/>
          <w:bottom w:w="0" w:type="dxa"/>
          <w:right w:w="108" w:type="dxa"/>
        </w:tblCellMar>
        <w:tblLook w:val="04a0"/>
      </w:tblPr>
      <w:tblGrid>
        <w:gridCol w:w="529"/>
        <w:gridCol w:w="7331"/>
        <w:gridCol w:w="1383"/>
      </w:tblGrid>
      <w:tr>
        <w:trPr/>
        <w:tc>
          <w:tcPr>
            <w:tcW w:w="529" w:type="dxa"/>
            <w:tcBorders/>
            <w:shd w:color="auto" w:fill="auto" w:val="clear"/>
          </w:tcPr>
          <w:p>
            <w:pPr>
              <w:pStyle w:val="Default"/>
              <w:widowControl w:val="false"/>
              <w:spacing w:lineRule="auto" w:line="240" w:before="0" w:after="0"/>
              <w:rPr/>
            </w:pPr>
            <w:r>
              <w:rPr/>
              <w:t xml:space="preserve">1. </w:t>
            </w:r>
          </w:p>
        </w:tc>
        <w:tc>
          <w:tcPr>
            <w:tcW w:w="7331" w:type="dxa"/>
            <w:tcBorders/>
            <w:shd w:color="auto" w:fill="auto" w:val="clear"/>
          </w:tcPr>
          <w:p>
            <w:pPr>
              <w:pStyle w:val="Default"/>
              <w:widowControl w:val="false"/>
              <w:spacing w:lineRule="auto" w:line="240" w:before="0" w:after="0"/>
              <w:rPr/>
            </w:pPr>
            <w:r>
              <w:rPr/>
              <w:t>Одговор на тему конкурса – унапређење урбаног идентитета и начина употребе простора</w:t>
            </w:r>
          </w:p>
        </w:tc>
        <w:tc>
          <w:tcPr>
            <w:tcW w:w="1383" w:type="dxa"/>
            <w:tcBorders/>
            <w:shd w:color="auto" w:fill="auto" w:val="clear"/>
          </w:tcPr>
          <w:p>
            <w:pPr>
              <w:pStyle w:val="Default"/>
              <w:widowControl w:val="false"/>
              <w:spacing w:lineRule="auto" w:line="240" w:before="0" w:after="0"/>
              <w:rPr/>
            </w:pPr>
            <w:r>
              <w:rPr/>
              <w:t xml:space="preserve">30 бодова </w:t>
            </w:r>
          </w:p>
        </w:tc>
      </w:tr>
      <w:tr>
        <w:trPr/>
        <w:tc>
          <w:tcPr>
            <w:tcW w:w="529" w:type="dxa"/>
            <w:tcBorders/>
            <w:shd w:color="auto" w:fill="auto" w:val="clear"/>
          </w:tcPr>
          <w:p>
            <w:pPr>
              <w:pStyle w:val="Default"/>
              <w:widowControl w:val="false"/>
              <w:spacing w:lineRule="auto" w:line="240" w:before="0" w:after="0"/>
              <w:rPr/>
            </w:pPr>
            <w:r>
              <w:rPr/>
              <w:t xml:space="preserve">2. </w:t>
            </w:r>
          </w:p>
        </w:tc>
        <w:tc>
          <w:tcPr>
            <w:tcW w:w="7331" w:type="dxa"/>
            <w:tcBorders/>
            <w:shd w:color="auto" w:fill="auto" w:val="clear"/>
          </w:tcPr>
          <w:p>
            <w:pPr>
              <w:pStyle w:val="Default"/>
              <w:widowControl w:val="false"/>
              <w:spacing w:lineRule="auto" w:line="240" w:before="0" w:after="0"/>
              <w:rPr/>
            </w:pPr>
            <w:r>
              <w:rPr/>
              <w:t xml:space="preserve">Просторни концепт решења и однос ка постојећем окружењу </w:t>
            </w:r>
          </w:p>
        </w:tc>
        <w:tc>
          <w:tcPr>
            <w:tcW w:w="1383" w:type="dxa"/>
            <w:tcBorders/>
            <w:shd w:color="auto" w:fill="auto" w:val="clear"/>
          </w:tcPr>
          <w:p>
            <w:pPr>
              <w:pStyle w:val="Default"/>
              <w:widowControl w:val="false"/>
              <w:spacing w:lineRule="auto" w:line="240" w:before="0" w:after="0"/>
              <w:rPr/>
            </w:pPr>
            <w:r>
              <w:rPr/>
              <w:t xml:space="preserve">25 бодова </w:t>
            </w:r>
          </w:p>
        </w:tc>
      </w:tr>
      <w:tr>
        <w:trPr/>
        <w:tc>
          <w:tcPr>
            <w:tcW w:w="529" w:type="dxa"/>
            <w:tcBorders/>
            <w:shd w:color="auto" w:fill="auto" w:val="clear"/>
          </w:tcPr>
          <w:p>
            <w:pPr>
              <w:pStyle w:val="Default"/>
              <w:widowControl w:val="false"/>
              <w:spacing w:lineRule="auto" w:line="240" w:before="0" w:after="0"/>
              <w:rPr/>
            </w:pPr>
            <w:r>
              <w:rPr/>
              <w:t xml:space="preserve">3. </w:t>
            </w:r>
          </w:p>
        </w:tc>
        <w:tc>
          <w:tcPr>
            <w:tcW w:w="7331" w:type="dxa"/>
            <w:tcBorders/>
            <w:shd w:color="auto" w:fill="auto" w:val="clear"/>
          </w:tcPr>
          <w:p>
            <w:pPr>
              <w:pStyle w:val="Default"/>
              <w:widowControl w:val="false"/>
              <w:spacing w:lineRule="auto" w:line="240" w:before="0" w:after="0"/>
              <w:rPr/>
            </w:pPr>
            <w:r>
              <w:rPr/>
              <w:t xml:space="preserve">Урбанистичко-архитектонско обликовање и естетика амбијенталних целина </w:t>
            </w:r>
          </w:p>
        </w:tc>
        <w:tc>
          <w:tcPr>
            <w:tcW w:w="1383" w:type="dxa"/>
            <w:tcBorders/>
            <w:shd w:color="auto" w:fill="auto" w:val="clear"/>
          </w:tcPr>
          <w:p>
            <w:pPr>
              <w:pStyle w:val="Default"/>
              <w:widowControl w:val="false"/>
              <w:spacing w:lineRule="auto" w:line="240" w:before="0" w:after="0"/>
              <w:rPr/>
            </w:pPr>
            <w:r>
              <w:rPr/>
              <w:t xml:space="preserve">20 бодова </w:t>
            </w:r>
          </w:p>
        </w:tc>
      </w:tr>
      <w:tr>
        <w:trPr/>
        <w:tc>
          <w:tcPr>
            <w:tcW w:w="529" w:type="dxa"/>
            <w:tcBorders/>
            <w:shd w:color="auto" w:fill="auto" w:val="clear"/>
          </w:tcPr>
          <w:p>
            <w:pPr>
              <w:pStyle w:val="Default"/>
              <w:widowControl w:val="false"/>
              <w:spacing w:lineRule="auto" w:line="240" w:before="0" w:after="0"/>
              <w:rPr/>
            </w:pPr>
            <w:r>
              <w:rPr/>
              <w:t xml:space="preserve">4. </w:t>
            </w:r>
          </w:p>
        </w:tc>
        <w:tc>
          <w:tcPr>
            <w:tcW w:w="7331" w:type="dxa"/>
            <w:tcBorders/>
            <w:shd w:color="auto" w:fill="auto" w:val="clear"/>
          </w:tcPr>
          <w:p>
            <w:pPr>
              <w:pStyle w:val="Default"/>
              <w:widowControl w:val="false"/>
              <w:spacing w:lineRule="auto" w:line="240" w:before="0" w:after="0"/>
              <w:rPr/>
            </w:pPr>
            <w:r>
              <w:rPr/>
              <w:t>Коришћење простора – приступачност, безбедност, зеленило</w:t>
            </w:r>
          </w:p>
        </w:tc>
        <w:tc>
          <w:tcPr>
            <w:tcW w:w="1383" w:type="dxa"/>
            <w:tcBorders/>
            <w:shd w:color="auto" w:fill="auto" w:val="clear"/>
          </w:tcPr>
          <w:p>
            <w:pPr>
              <w:pStyle w:val="Default"/>
              <w:widowControl w:val="false"/>
              <w:spacing w:lineRule="auto" w:line="240" w:before="0" w:after="0"/>
              <w:rPr/>
            </w:pPr>
            <w:r>
              <w:rPr/>
              <w:t xml:space="preserve">15 бодова </w:t>
            </w:r>
          </w:p>
        </w:tc>
      </w:tr>
      <w:tr>
        <w:trPr/>
        <w:tc>
          <w:tcPr>
            <w:tcW w:w="529" w:type="dxa"/>
            <w:tcBorders/>
            <w:shd w:color="auto" w:fill="auto" w:val="clear"/>
          </w:tcPr>
          <w:p>
            <w:pPr>
              <w:pStyle w:val="Default"/>
              <w:widowControl w:val="false"/>
              <w:spacing w:lineRule="auto" w:line="240" w:before="0" w:after="0"/>
              <w:rPr/>
            </w:pPr>
            <w:r>
              <w:rPr/>
              <w:t xml:space="preserve">5. </w:t>
            </w:r>
          </w:p>
        </w:tc>
        <w:tc>
          <w:tcPr>
            <w:tcW w:w="7331" w:type="dxa"/>
            <w:tcBorders/>
            <w:shd w:color="auto" w:fill="auto" w:val="clear"/>
          </w:tcPr>
          <w:p>
            <w:pPr>
              <w:pStyle w:val="Default"/>
              <w:widowControl w:val="false"/>
              <w:spacing w:lineRule="auto" w:line="240" w:before="0" w:after="0"/>
              <w:rPr/>
            </w:pPr>
            <w:r>
              <w:rPr/>
              <w:t xml:space="preserve">Економичност и спроводљивост предложеног решења </w:t>
            </w:r>
          </w:p>
        </w:tc>
        <w:tc>
          <w:tcPr>
            <w:tcW w:w="1383" w:type="dxa"/>
            <w:tcBorders/>
            <w:shd w:color="auto" w:fill="auto" w:val="clear"/>
          </w:tcPr>
          <w:p>
            <w:pPr>
              <w:pStyle w:val="Default"/>
              <w:widowControl w:val="false"/>
              <w:spacing w:lineRule="auto" w:line="240" w:before="0" w:after="0"/>
              <w:rPr/>
            </w:pPr>
            <w:r>
              <w:rPr/>
              <w:t xml:space="preserve">10 бодова </w:t>
            </w:r>
          </w:p>
        </w:tc>
      </w:tr>
    </w:tbl>
    <w:p>
      <w:pPr>
        <w:pStyle w:val="Normal"/>
        <w:rPr/>
      </w:pPr>
      <w:r>
        <w:rPr/>
      </w:r>
    </w:p>
    <w:p>
      <w:pPr>
        <w:pStyle w:val="Normal"/>
        <w:rPr/>
      </w:pPr>
      <w:r>
        <w:rPr/>
        <w:t>Жири задржава право да елиминише из даљег поступка вредновања пројекте који не задовољавају поменуте критеријуме и условљености дате програмом конкурса.</w:t>
      </w:r>
    </w:p>
    <w:p>
      <w:pPr>
        <w:pStyle w:val="Normal"/>
        <w:rPr/>
      </w:pPr>
      <w:r>
        <w:rPr/>
        <w:t>Жири оцењује и рангира само конкурсне радове у којима су прилози урађени у складу са Позивом за учешће на конкурсу за дизајн (Расписом).</w:t>
      </w:r>
    </w:p>
    <w:p>
      <w:pPr>
        <w:pStyle w:val="Normal"/>
        <w:rPr/>
      </w:pPr>
      <w:r>
        <w:rPr/>
        <w:t>Одлука жирија о додели награда је коначна и неопозива у складу са наведеном процедуром и условима вредновања.</w:t>
      </w:r>
    </w:p>
    <w:p>
      <w:pPr>
        <w:pStyle w:val="Normal"/>
        <w:rPr/>
      </w:pPr>
      <w:r>
        <w:rPr/>
      </w:r>
    </w:p>
    <w:p>
      <w:pPr>
        <w:pStyle w:val="Heading1"/>
        <w:rPr/>
      </w:pPr>
      <w:bookmarkStart w:id="8" w:name="_Toc70010146"/>
      <w:r>
        <w:rPr/>
        <w:t>Наградни фонд</w:t>
      </w:r>
      <w:bookmarkEnd w:id="8"/>
    </w:p>
    <w:p>
      <w:pPr>
        <w:pStyle w:val="Normal"/>
        <w:rPr/>
      </w:pPr>
      <w:r>
        <w:rPr/>
        <w:t>Висина фонда за награде и обештећења учесницима конкурса износи 1.850.000,00 динара без ПДВ /нето/. Уколико до утврђеног рока пристигне најмање 5 (пет) радова који одговарају пропозицијама Конкурса доделиће се награде и откупи и то у следећим нето износима:</w:t>
      </w:r>
    </w:p>
    <w:p>
      <w:pPr>
        <w:pStyle w:val="Normal"/>
        <w:rPr/>
      </w:pPr>
      <w:r>
        <w:rPr/>
        <w:t>Прва награда 800.000,00 динара /нето/ без ПДВ-а, пореза и доприноса</w:t>
      </w:r>
    </w:p>
    <w:p>
      <w:pPr>
        <w:pStyle w:val="Normal"/>
        <w:rPr/>
      </w:pPr>
      <w:r>
        <w:rPr/>
        <w:t>Друга награда 500.000,00 динара /нето/ без ПДВ-а, пореза и доприноса</w:t>
      </w:r>
    </w:p>
    <w:p>
      <w:pPr>
        <w:pStyle w:val="Normal"/>
        <w:rPr/>
      </w:pPr>
      <w:r>
        <w:rPr/>
        <w:t>Трећа награда 350.000,00 динара /нето/ без ПДВ-а, пореза и доприноса</w:t>
      </w:r>
    </w:p>
    <w:p>
      <w:pPr>
        <w:pStyle w:val="Normal"/>
        <w:rPr/>
      </w:pPr>
      <w:r>
        <w:rPr/>
        <w:t>Oткуп 1 - 100.000,00 динара /нето/ без ПДВ-а, пореза и доприноса</w:t>
      </w:r>
    </w:p>
    <w:p>
      <w:pPr>
        <w:pStyle w:val="Normal"/>
        <w:rPr/>
      </w:pPr>
      <w:r>
        <w:rPr/>
        <w:t>Откуп 1 - 100.000,00 динара /нето/ без ПДВ-а, пореза и доприноса</w:t>
      </w:r>
    </w:p>
    <w:p>
      <w:pPr>
        <w:pStyle w:val="Normal"/>
        <w:rPr/>
      </w:pPr>
      <w:r>
        <w:rPr/>
        <w:t>Жири ће расподелу награда и обештећења/ откупа извршити у свему према одредбама Правилника о начину и поступку за расписивање и спровођење урбанистичко-архитектонског конкурса ("Службени гласник РС", број 31/2015), са могућношћу и другачије расподеле награда у оквиру предвиђеног наградног фонда.</w:t>
      </w:r>
    </w:p>
    <w:p>
      <w:pPr>
        <w:pStyle w:val="Normal"/>
        <w:rPr/>
      </w:pPr>
      <w:r>
        <w:rPr/>
        <w:t>Жири ће доделити једну прву награду и доносити свеодлуке доносити већином гласова. Жири има право и да прогласи посебна признања (посебне похвале, без новчане накнаде).</w:t>
      </w:r>
    </w:p>
    <w:p>
      <w:pPr>
        <w:pStyle w:val="Normal"/>
        <w:rPr/>
      </w:pPr>
      <w:r>
        <w:rPr/>
        <w:t>Све награде, откупе и обештећења, награђеним учесницима исплаћује Наручилац (Расписивач). Исплата награда и обештећења у назначеном нето износу са увећаним припадајућим порезима и доприносима/са урачунатим ПДВ, ће се извршити уплатом на текући рачун изабраног понуђача - Аутора награђеног/их конкурсног/их рада/ова.</w:t>
      </w:r>
    </w:p>
    <w:p>
      <w:pPr>
        <w:pStyle w:val="Normal"/>
        <w:rPr/>
      </w:pPr>
      <w:r>
        <w:rPr/>
      </w:r>
    </w:p>
    <w:p>
      <w:pPr>
        <w:pStyle w:val="Heading1"/>
        <w:rPr/>
      </w:pPr>
      <w:bookmarkStart w:id="9" w:name="_Toc70010147"/>
      <w:r>
        <w:rPr/>
        <w:t>13. Међусобни односи након конкурса</w:t>
      </w:r>
      <w:bookmarkEnd w:id="9"/>
    </w:p>
    <w:p>
      <w:pPr>
        <w:pStyle w:val="Normal"/>
        <w:rPr/>
      </w:pPr>
      <w:r>
        <w:rPr/>
        <w:t>Награђени и откупљени радови постају власништво Расписивача, који исте може користити у целости или у деловима.</w:t>
      </w:r>
    </w:p>
    <w:p>
      <w:pPr>
        <w:pStyle w:val="Normal"/>
        <w:rPr/>
      </w:pPr>
      <w:r>
        <w:rPr/>
        <w:t>Аутори награђених и откупљених радова могу да буду укључени у даљу разраду пројекта по потреби и позиву. Сваку евентуалну сарадњу стране ће регулисати посебним уговором.</w:t>
      </w:r>
    </w:p>
    <w:p>
      <w:pPr>
        <w:pStyle w:val="Normal"/>
        <w:rPr/>
      </w:pPr>
      <w:r>
        <w:rPr/>
      </w:r>
    </w:p>
    <w:p>
      <w:pPr>
        <w:pStyle w:val="Heading1"/>
        <w:rPr/>
      </w:pPr>
      <w:bookmarkStart w:id="10" w:name="_Toc70010148"/>
      <w:r>
        <w:rPr/>
        <w:t xml:space="preserve"> </w:t>
      </w:r>
      <w:r>
        <w:rPr/>
        <w:t>Правне и финансијске последице за врсту и висину награде и услови заштите ауторских права и преноса имовинских права аутора на Наручиоца</w:t>
      </w:r>
      <w:bookmarkEnd w:id="10"/>
    </w:p>
    <w:p>
      <w:pPr>
        <w:pStyle w:val="Normal"/>
        <w:rPr/>
      </w:pPr>
      <w:r>
        <w:rPr/>
        <w:t>Аутор конкурсног рада је учесник који је израдио конкурсни рад и тиме под својим именом објавио ауторско дело чином предаје на конкурс. Ауторски тим чине потписници конкурсног рада, коаутори, и тиме носиоци свих зајeдничких ауторских права.</w:t>
      </w:r>
    </w:p>
    <w:p>
      <w:pPr>
        <w:pStyle w:val="Normal"/>
        <w:rPr/>
      </w:pPr>
      <w:r>
        <w:rPr/>
        <w:t>Предајом конкурсног рада аутори (ауторски тим) уступа пренос свих имовинских права аутора Наручиоцу уколико је предметни рад награђен или откупљен.</w:t>
      </w:r>
    </w:p>
    <w:p>
      <w:pPr>
        <w:pStyle w:val="Normal"/>
        <w:rPr/>
      </w:pPr>
      <w:r>
        <w:rPr/>
        <w:t>Награђен рад може се користити у целини или у деловима и кроз израду планске и техничке документације биће прилагођен ситуацији на терену, односно просторним и техничким могућностима и ограничењима.</w:t>
      </w:r>
    </w:p>
    <w:p>
      <w:pPr>
        <w:pStyle w:val="Normal"/>
        <w:rPr/>
      </w:pPr>
      <w:r>
        <w:rPr/>
        <w:t>Аутори задржавају право на публиковање свог рада.</w:t>
      </w:r>
    </w:p>
    <w:p>
      <w:pPr>
        <w:pStyle w:val="Normal"/>
        <w:rPr/>
      </w:pPr>
      <w:r>
        <w:rPr/>
        <w:t>Наручилац има права да користи све пристигле радове, односно, да их публикује и промовише резултате конкурса.</w:t>
      </w:r>
    </w:p>
    <w:p>
      <w:pPr>
        <w:pStyle w:val="Normal"/>
        <w:rPr/>
      </w:pPr>
      <w:r>
        <w:rPr/>
        <w:t>Предајом рада сваки понуђач (учесник конкурса) прихвата услове овог Конкурса.</w:t>
      </w:r>
    </w:p>
    <w:p>
      <w:pPr>
        <w:pStyle w:val="Normal"/>
        <w:rPr/>
      </w:pPr>
      <w:r>
        <w:rPr/>
      </w:r>
    </w:p>
    <w:p>
      <w:pPr>
        <w:pStyle w:val="Heading1"/>
        <w:rPr/>
      </w:pPr>
      <w:bookmarkStart w:id="11" w:name="_Toc70010149"/>
      <w:r>
        <w:rPr/>
        <w:t>Подаци о језику на коме понуда мора да буде састављена</w:t>
      </w:r>
      <w:bookmarkEnd w:id="11"/>
    </w:p>
    <w:p>
      <w:pPr>
        <w:pStyle w:val="Normal"/>
        <w:rPr/>
      </w:pPr>
      <w:r>
        <w:rPr/>
        <w:t>Понуђач (Учесник конкурса) подноси понуду (конкурсни рад), са свим приложеним актима и исправама, на српском језику на коме је и сачињена ова конкурсна документација и на коме се води поступак јавне набавке. Уколико је одређени документ на страном језику, понуђач је дужан да поред документа на страном језику достави и превод тог документа на српски језик без обавезе овере од стране овлашћеног судског тумача.</w:t>
      </w:r>
    </w:p>
    <w:p>
      <w:pPr>
        <w:pStyle w:val="Normal"/>
        <w:rPr/>
      </w:pPr>
      <w:r>
        <w:rPr/>
      </w:r>
    </w:p>
    <w:p>
      <w:pPr>
        <w:pStyle w:val="Normal"/>
        <w:rPr/>
      </w:pPr>
      <w:r>
        <w:rPr/>
      </w:r>
    </w:p>
    <w:p>
      <w:pPr>
        <w:pStyle w:val="Normal"/>
        <w:rPr/>
      </w:pPr>
      <w:r>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lang w:val="sr-RS"/>
        </w:rPr>
      </w:pPr>
      <w:r>
        <w:rPr>
          <w:b/>
          <w:lang w:val="sr-RS"/>
        </w:rPr>
        <w:t>ОБАВЕШТЕЊЕ: Материјал за конкурс се налази на следећем линку:</w:t>
      </w:r>
    </w:p>
    <w:p>
      <w:pPr>
        <w:pStyle w:val="Normal"/>
        <w:rPr>
          <w:b/>
          <w:b/>
        </w:rPr>
      </w:pPr>
      <w:r>
        <w:rPr>
          <w:b/>
        </w:rPr>
      </w:r>
    </w:p>
    <w:p>
      <w:pPr>
        <w:pStyle w:val="Normal"/>
        <w:rPr>
          <w:b/>
          <w:b/>
        </w:rPr>
      </w:pPr>
      <w:r>
        <w:rPr>
          <w:rStyle w:val="InternetLink"/>
          <w:b/>
          <w:sz w:val="24"/>
        </w:rPr>
        <w:t>http://zajecar.info/files/document/konkurstrg.zip</w:t>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Heading1"/>
        <w:rPr/>
      </w:pPr>
      <w:bookmarkStart w:id="12" w:name="_Toc70010134"/>
      <w:r>
        <w:rPr/>
        <w:t>Образац бр. 1</w:t>
      </w:r>
      <w:bookmarkEnd w:id="12"/>
    </w:p>
    <w:p>
      <w:pPr>
        <w:pStyle w:val="Normal"/>
        <w:jc w:val="center"/>
        <w:rPr>
          <w:b/>
          <w:b/>
        </w:rPr>
      </w:pPr>
      <w:r>
        <w:rPr>
          <w:b/>
        </w:rPr>
      </w:r>
    </w:p>
    <w:p>
      <w:pPr>
        <w:pStyle w:val="Normal"/>
        <w:jc w:val="center"/>
        <w:rPr>
          <w:b/>
          <w:b/>
        </w:rPr>
      </w:pPr>
      <w:r>
        <w:rPr>
          <w:b/>
        </w:rPr>
      </w:r>
    </w:p>
    <w:p>
      <w:pPr>
        <w:pStyle w:val="Normal"/>
        <w:jc w:val="left"/>
        <w:rPr>
          <w:b/>
          <w:b/>
          <w:bCs/>
          <w:sz w:val="28"/>
          <w:szCs w:val="28"/>
        </w:rPr>
      </w:pPr>
      <w:r>
        <w:rPr>
          <w:b/>
          <w:bCs/>
          <w:sz w:val="28"/>
          <w:szCs w:val="28"/>
        </w:rPr>
        <w:t>Шифра конкурсног рада: __________________</w:t>
      </w:r>
    </w:p>
    <w:p>
      <w:pPr>
        <w:pStyle w:val="Normal"/>
        <w:jc w:val="left"/>
        <w:rPr>
          <w:b/>
          <w:b/>
        </w:rPr>
      </w:pPr>
      <w:r>
        <w:rPr>
          <w:b/>
        </w:rPr>
      </w:r>
    </w:p>
    <w:p>
      <w:pPr>
        <w:pStyle w:val="Normal"/>
        <w:jc w:val="left"/>
        <w:rPr>
          <w:b/>
          <w:b/>
        </w:rPr>
      </w:pPr>
      <w:r>
        <w:rPr>
          <w:b/>
        </w:rPr>
      </w:r>
    </w:p>
    <w:p>
      <w:pPr>
        <w:pStyle w:val="Default"/>
        <w:jc w:val="center"/>
        <w:rPr>
          <w:b/>
          <w:b/>
          <w:bCs/>
          <w:sz w:val="28"/>
          <w:szCs w:val="28"/>
        </w:rPr>
      </w:pPr>
      <w:r>
        <w:rPr>
          <w:b/>
          <w:bCs/>
          <w:sz w:val="28"/>
          <w:szCs w:val="28"/>
        </w:rPr>
        <w:t xml:space="preserve">ПРИМАЛАЦ ПОНУДЕ: Градска управа града Зајечара </w:t>
      </w:r>
    </w:p>
    <w:p>
      <w:pPr>
        <w:pStyle w:val="Default"/>
        <w:rPr>
          <w:b/>
          <w:b/>
          <w:bCs/>
          <w:sz w:val="28"/>
          <w:szCs w:val="28"/>
        </w:rPr>
      </w:pPr>
      <w:r>
        <w:rPr>
          <w:b/>
          <w:bCs/>
          <w:sz w:val="28"/>
          <w:szCs w:val="28"/>
        </w:rPr>
      </w:r>
    </w:p>
    <w:p>
      <w:pPr>
        <w:pStyle w:val="Default"/>
        <w:rPr>
          <w:sz w:val="28"/>
          <w:szCs w:val="28"/>
        </w:rPr>
      </w:pPr>
      <w:r>
        <w:rPr>
          <w:sz w:val="28"/>
          <w:szCs w:val="28"/>
        </w:rPr>
      </w:r>
    </w:p>
    <w:p>
      <w:pPr>
        <w:pStyle w:val="Default"/>
        <w:rPr>
          <w:sz w:val="28"/>
          <w:szCs w:val="28"/>
        </w:rPr>
      </w:pPr>
      <w:r>
        <w:rPr>
          <w:sz w:val="28"/>
          <w:szCs w:val="28"/>
        </w:rPr>
      </w:r>
    </w:p>
    <w:p>
      <w:pPr>
        <w:pStyle w:val="Default"/>
        <w:rPr>
          <w:b/>
          <w:b/>
          <w:bCs/>
          <w:sz w:val="28"/>
          <w:szCs w:val="28"/>
        </w:rPr>
      </w:pPr>
      <w:r>
        <w:rPr>
          <w:b/>
          <w:bCs/>
          <w:sz w:val="28"/>
          <w:szCs w:val="28"/>
        </w:rPr>
      </w:r>
    </w:p>
    <w:p>
      <w:pPr>
        <w:pStyle w:val="Default"/>
        <w:rPr>
          <w:b/>
          <w:b/>
          <w:bCs/>
          <w:sz w:val="28"/>
          <w:szCs w:val="28"/>
        </w:rPr>
      </w:pPr>
      <w:r>
        <w:rPr>
          <w:b/>
          <w:bCs/>
          <w:sz w:val="28"/>
          <w:szCs w:val="28"/>
        </w:rPr>
      </w:r>
    </w:p>
    <w:p>
      <w:pPr>
        <w:pStyle w:val="Default"/>
        <w:rPr>
          <w:b/>
          <w:b/>
          <w:bCs/>
          <w:sz w:val="28"/>
          <w:szCs w:val="28"/>
        </w:rPr>
      </w:pPr>
      <w:r>
        <w:rPr>
          <w:b/>
          <w:bCs/>
          <w:sz w:val="28"/>
          <w:szCs w:val="28"/>
        </w:rPr>
      </w:r>
    </w:p>
    <w:p>
      <w:pPr>
        <w:pStyle w:val="Default"/>
        <w:rPr>
          <w:sz w:val="72"/>
          <w:szCs w:val="72"/>
        </w:rPr>
      </w:pPr>
      <w:r>
        <w:rPr>
          <w:sz w:val="72"/>
          <w:szCs w:val="72"/>
        </w:rPr>
      </w:r>
    </w:p>
    <w:p>
      <w:pPr>
        <w:pStyle w:val="Default"/>
        <w:rPr>
          <w:sz w:val="72"/>
          <w:szCs w:val="72"/>
        </w:rPr>
      </w:pPr>
      <w:r>
        <w:rPr>
          <w:sz w:val="72"/>
          <w:szCs w:val="72"/>
        </w:rPr>
      </w:r>
    </w:p>
    <w:p>
      <w:pPr>
        <w:pStyle w:val="Default"/>
        <w:jc w:val="center"/>
        <w:rPr>
          <w:b/>
          <w:b/>
          <w:bCs/>
          <w:sz w:val="72"/>
          <w:szCs w:val="72"/>
        </w:rPr>
      </w:pPr>
      <w:r>
        <w:rPr>
          <w:b/>
          <w:bCs/>
          <w:sz w:val="72"/>
          <w:szCs w:val="72"/>
        </w:rPr>
        <w:t>П О Н У Д А</w:t>
      </w:r>
    </w:p>
    <w:p>
      <w:pPr>
        <w:pStyle w:val="Default"/>
        <w:jc w:val="center"/>
        <w:rPr>
          <w:sz w:val="28"/>
          <w:szCs w:val="28"/>
        </w:rPr>
      </w:pPr>
      <w:r>
        <w:rPr>
          <w:sz w:val="28"/>
          <w:szCs w:val="28"/>
        </w:rPr>
      </w:r>
    </w:p>
    <w:p>
      <w:pPr>
        <w:pStyle w:val="Default"/>
        <w:jc w:val="center"/>
        <w:rPr>
          <w:sz w:val="28"/>
          <w:szCs w:val="28"/>
        </w:rPr>
      </w:pPr>
      <w:r>
        <w:rPr>
          <w:sz w:val="28"/>
          <w:szCs w:val="28"/>
        </w:rPr>
        <w:t>у поступку конкурса за дизајн</w:t>
      </w:r>
    </w:p>
    <w:p>
      <w:pPr>
        <w:pStyle w:val="Default"/>
        <w:jc w:val="center"/>
        <w:rPr>
          <w:sz w:val="28"/>
          <w:szCs w:val="28"/>
        </w:rPr>
      </w:pPr>
      <w:r>
        <w:rPr>
          <w:sz w:val="28"/>
          <w:szCs w:val="28"/>
        </w:rPr>
        <w:t>за израду урбанистичко-архитектонског решења Трга ослобођења у Зајечару</w:t>
      </w:r>
    </w:p>
    <w:p>
      <w:pPr>
        <w:pStyle w:val="Default"/>
        <w:jc w:val="center"/>
        <w:rPr>
          <w:sz w:val="28"/>
          <w:szCs w:val="28"/>
        </w:rPr>
      </w:pPr>
      <w:r>
        <w:rPr>
          <w:sz w:val="28"/>
          <w:szCs w:val="28"/>
        </w:rPr>
      </w:r>
    </w:p>
    <w:p>
      <w:pPr>
        <w:pStyle w:val="Default"/>
        <w:jc w:val="center"/>
        <w:rPr>
          <w:sz w:val="28"/>
          <w:szCs w:val="28"/>
        </w:rPr>
      </w:pPr>
      <w:r>
        <w:rPr>
          <w:sz w:val="28"/>
          <w:szCs w:val="28"/>
        </w:rPr>
        <w:t>Редни број јавне набавке: 404-146</w:t>
      </w:r>
    </w:p>
    <w:p>
      <w:pPr>
        <w:pStyle w:val="Default"/>
        <w:jc w:val="center"/>
        <w:rPr>
          <w:sz w:val="28"/>
          <w:szCs w:val="28"/>
        </w:rPr>
      </w:pPr>
      <w:r>
        <w:rPr>
          <w:sz w:val="28"/>
          <w:szCs w:val="28"/>
        </w:rPr>
      </w:r>
    </w:p>
    <w:p>
      <w:pPr>
        <w:pStyle w:val="Default"/>
        <w:jc w:val="center"/>
        <w:rPr>
          <w:sz w:val="28"/>
          <w:szCs w:val="28"/>
        </w:rPr>
      </w:pPr>
      <w:r>
        <w:rPr>
          <w:sz w:val="28"/>
          <w:szCs w:val="28"/>
        </w:rPr>
      </w:r>
    </w:p>
    <w:p>
      <w:pPr>
        <w:pStyle w:val="Default"/>
        <w:jc w:val="center"/>
        <w:rPr>
          <w:sz w:val="28"/>
          <w:szCs w:val="28"/>
        </w:rPr>
      </w:pPr>
      <w:r>
        <w:rPr>
          <w:sz w:val="28"/>
          <w:szCs w:val="28"/>
        </w:rPr>
      </w:r>
    </w:p>
    <w:p>
      <w:pPr>
        <w:pStyle w:val="Default"/>
        <w:jc w:val="center"/>
        <w:rPr>
          <w:sz w:val="28"/>
          <w:szCs w:val="28"/>
        </w:rPr>
      </w:pPr>
      <w:r>
        <w:rPr>
          <w:sz w:val="28"/>
          <w:szCs w:val="28"/>
        </w:rPr>
      </w:r>
    </w:p>
    <w:p>
      <w:pPr>
        <w:pStyle w:val="Default"/>
        <w:jc w:val="center"/>
        <w:rPr>
          <w:sz w:val="28"/>
          <w:szCs w:val="28"/>
        </w:rPr>
      </w:pPr>
      <w:r>
        <w:rPr>
          <w:sz w:val="28"/>
          <w:szCs w:val="28"/>
        </w:rPr>
      </w:r>
    </w:p>
    <w:p>
      <w:pPr>
        <w:pStyle w:val="Default"/>
        <w:jc w:val="center"/>
        <w:rPr>
          <w:sz w:val="28"/>
          <w:szCs w:val="28"/>
        </w:rPr>
      </w:pPr>
      <w:r>
        <w:rPr>
          <w:sz w:val="28"/>
          <w:szCs w:val="28"/>
        </w:rPr>
      </w:r>
    </w:p>
    <w:p>
      <w:pPr>
        <w:pStyle w:val="Default"/>
        <w:jc w:val="center"/>
        <w:rPr>
          <w:sz w:val="28"/>
          <w:szCs w:val="28"/>
        </w:rPr>
      </w:pPr>
      <w:r>
        <w:rPr>
          <w:sz w:val="28"/>
          <w:szCs w:val="28"/>
        </w:rPr>
      </w:r>
    </w:p>
    <w:p>
      <w:pPr>
        <w:pStyle w:val="Normal"/>
        <w:jc w:val="center"/>
        <w:rPr>
          <w:b/>
          <w:b/>
        </w:rPr>
      </w:pPr>
      <w:r>
        <w:rPr>
          <w:b/>
          <w:bCs/>
          <w:sz w:val="32"/>
          <w:szCs w:val="32"/>
        </w:rPr>
        <w:t>НЕ ОТВАРАТИ!</w:t>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Heading1"/>
        <w:rPr/>
      </w:pPr>
      <w:bookmarkStart w:id="13" w:name="_Toc70010150"/>
      <w:r>
        <w:rPr/>
        <w:t>Образац бр. 2</w:t>
      </w:r>
      <w:bookmarkEnd w:id="13"/>
    </w:p>
    <w:p>
      <w:pPr>
        <w:pStyle w:val="Normal"/>
        <w:jc w:val="center"/>
        <w:rPr>
          <w:b/>
          <w:b/>
        </w:rPr>
      </w:pPr>
      <w:r>
        <w:rPr>
          <w:b/>
        </w:rPr>
      </w:r>
    </w:p>
    <w:p>
      <w:pPr>
        <w:pStyle w:val="Normal"/>
        <w:rPr/>
      </w:pPr>
      <w:r>
        <w:rPr/>
        <w:t>У складу са условима Конкурса за за израду урбанистичко - архитектонског решења Трга ослобођења у Зајечару, под пуном материјалном и кривичном одговорношћу, као Учесник конкурса, дајем следећу</w:t>
      </w:r>
    </w:p>
    <w:p>
      <w:pPr>
        <w:pStyle w:val="Normal"/>
        <w:rPr/>
      </w:pPr>
      <w:r>
        <w:rPr/>
      </w:r>
    </w:p>
    <w:p>
      <w:pPr>
        <w:pStyle w:val="Normal"/>
        <w:jc w:val="center"/>
        <w:rPr>
          <w:b/>
          <w:b/>
        </w:rPr>
      </w:pPr>
      <w:r>
        <w:rPr>
          <w:b/>
        </w:rPr>
        <w:t>И З Ј А В У</w:t>
      </w:r>
    </w:p>
    <w:p>
      <w:pPr>
        <w:pStyle w:val="Normal"/>
        <w:jc w:val="center"/>
        <w:rPr>
          <w:b/>
          <w:b/>
        </w:rPr>
      </w:pPr>
      <w:r>
        <w:rPr>
          <w:b/>
        </w:rPr>
      </w:r>
    </w:p>
    <w:p>
      <w:pPr>
        <w:pStyle w:val="Normal"/>
        <w:jc w:val="center"/>
        <w:rPr/>
      </w:pPr>
      <w:r>
        <w:rPr/>
        <w:t>Учесник, __________________________</w:t>
      </w:r>
    </w:p>
    <w:p>
      <w:pPr>
        <w:pStyle w:val="Normal"/>
        <w:jc w:val="center"/>
        <w:rPr/>
      </w:pPr>
      <w:r>
        <w:rPr/>
        <w:t>(уписати шифру конкурсног рада),</w:t>
      </w:r>
    </w:p>
    <w:p>
      <w:pPr>
        <w:pStyle w:val="Normal"/>
        <w:jc w:val="left"/>
        <w:rPr/>
      </w:pPr>
      <w:r>
        <w:rPr/>
      </w:r>
    </w:p>
    <w:tbl>
      <w:tblPr>
        <w:tblStyle w:val="TableGrid"/>
        <w:tblW w:w="9243" w:type="dxa"/>
        <w:jc w:val="left"/>
        <w:tblInd w:w="0" w:type="dxa"/>
        <w:tblCellMar>
          <w:top w:w="0" w:type="dxa"/>
          <w:left w:w="108" w:type="dxa"/>
          <w:bottom w:w="0" w:type="dxa"/>
          <w:right w:w="108" w:type="dxa"/>
        </w:tblCellMar>
        <w:tblLook w:val="04a0"/>
      </w:tblPr>
      <w:tblGrid>
        <w:gridCol w:w="672"/>
        <w:gridCol w:w="3259"/>
        <w:gridCol w:w="3260"/>
        <w:gridCol w:w="2051"/>
      </w:tblGrid>
      <w:tr>
        <w:trPr/>
        <w:tc>
          <w:tcPr>
            <w:tcW w:w="672" w:type="dxa"/>
            <w:tcBorders>
              <w:right w:val="nil"/>
            </w:tcBorders>
            <w:shd w:color="auto" w:fill="auto" w:val="clear"/>
          </w:tcPr>
          <w:p>
            <w:pPr>
              <w:pStyle w:val="Normal"/>
              <w:widowControl/>
              <w:spacing w:lineRule="auto" w:line="240" w:before="0" w:after="0"/>
              <w:jc w:val="left"/>
              <w:rPr>
                <w:rFonts w:eastAsia="Calibri" w:cs="Times New Roman" w:eastAsiaTheme="minorHAnsi"/>
                <w:b/>
                <w:b/>
                <w:color w:val="000000"/>
                <w:sz w:val="23"/>
                <w:szCs w:val="23"/>
              </w:rPr>
            </w:pPr>
            <w:r>
              <w:rPr>
                <w:rFonts w:eastAsia="Calibri" w:cs="Times New Roman" w:eastAsiaTheme="minorHAnsi"/>
                <w:b/>
                <w:color w:val="000000"/>
                <w:sz w:val="23"/>
                <w:szCs w:val="23"/>
              </w:rPr>
              <w:t>Р.бр</w:t>
            </w:r>
          </w:p>
        </w:tc>
        <w:tc>
          <w:tcPr>
            <w:tcW w:w="3259" w:type="dxa"/>
            <w:tcBorders>
              <w:left w:val="nil"/>
              <w:right w:val="nil"/>
            </w:tcBorders>
            <w:shd w:color="auto" w:fill="auto" w:val="clear"/>
          </w:tcPr>
          <w:p>
            <w:pPr>
              <w:pStyle w:val="Normal"/>
              <w:spacing w:lineRule="auto" w:line="240" w:before="0" w:after="0"/>
              <w:jc w:val="center"/>
              <w:rPr/>
            </w:pPr>
            <w:r>
              <w:rPr>
                <w:b/>
              </w:rPr>
              <w:t xml:space="preserve">Име и презиме учесника </w:t>
            </w:r>
            <w:r>
              <w:rPr/>
              <w:t>(аутор/правно лице, чланови тима, сарадници)</w:t>
            </w:r>
          </w:p>
        </w:tc>
        <w:tc>
          <w:tcPr>
            <w:tcW w:w="3260" w:type="dxa"/>
            <w:tcBorders>
              <w:left w:val="nil"/>
              <w:right w:val="nil"/>
            </w:tcBorders>
            <w:shd w:color="auto" w:fill="auto" w:val="clear"/>
          </w:tcPr>
          <w:p>
            <w:pPr>
              <w:pStyle w:val="Normal"/>
              <w:spacing w:lineRule="auto" w:line="240" w:before="0" w:after="0"/>
              <w:jc w:val="center"/>
              <w:rPr>
                <w:b/>
                <w:b/>
              </w:rPr>
            </w:pPr>
            <w:r>
              <w:rPr>
                <w:b/>
              </w:rPr>
              <w:t>Адреса</w:t>
            </w:r>
          </w:p>
          <w:p>
            <w:pPr>
              <w:pStyle w:val="Normal"/>
              <w:spacing w:lineRule="auto" w:line="240" w:before="0" w:after="0"/>
              <w:jc w:val="center"/>
              <w:rPr/>
            </w:pPr>
            <w:r>
              <w:rPr/>
              <w:t>(из личне карте)</w:t>
            </w:r>
          </w:p>
        </w:tc>
        <w:tc>
          <w:tcPr>
            <w:tcW w:w="2051" w:type="dxa"/>
            <w:tcBorders>
              <w:left w:val="nil"/>
            </w:tcBorders>
            <w:shd w:color="auto" w:fill="auto" w:val="clear"/>
          </w:tcPr>
          <w:p>
            <w:pPr>
              <w:pStyle w:val="Normal"/>
              <w:spacing w:lineRule="auto" w:line="240" w:before="0" w:after="0"/>
              <w:jc w:val="center"/>
              <w:rPr/>
            </w:pPr>
            <w:r>
              <w:rPr>
                <w:b/>
              </w:rPr>
              <w:t>Потпис</w:t>
            </w:r>
          </w:p>
        </w:tc>
      </w:tr>
      <w:tr>
        <w:trPr/>
        <w:tc>
          <w:tcPr>
            <w:tcW w:w="672" w:type="dxa"/>
            <w:tcBorders>
              <w:right w:val="nil"/>
            </w:tcBorders>
            <w:shd w:color="auto" w:fill="auto" w:val="clear"/>
          </w:tcPr>
          <w:p>
            <w:pPr>
              <w:pStyle w:val="Normal"/>
              <w:spacing w:lineRule="auto" w:line="240" w:before="0" w:after="0"/>
              <w:jc w:val="center"/>
              <w:rPr/>
            </w:pPr>
            <w:r>
              <w:rPr/>
              <w:t>1.</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2.</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3.</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4.</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5.</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6.</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7.</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r>
        <w:trPr/>
        <w:tc>
          <w:tcPr>
            <w:tcW w:w="672" w:type="dxa"/>
            <w:tcBorders>
              <w:right w:val="nil"/>
            </w:tcBorders>
            <w:shd w:color="auto" w:fill="auto" w:val="clear"/>
          </w:tcPr>
          <w:p>
            <w:pPr>
              <w:pStyle w:val="Normal"/>
              <w:spacing w:lineRule="auto" w:line="240" w:before="0" w:after="0"/>
              <w:jc w:val="center"/>
              <w:rPr/>
            </w:pPr>
            <w:r>
              <w:rPr/>
              <w:t>8.</w:t>
            </w:r>
          </w:p>
        </w:tc>
        <w:tc>
          <w:tcPr>
            <w:tcW w:w="3259" w:type="dxa"/>
            <w:tcBorders>
              <w:left w:val="nil"/>
              <w:right w:val="nil"/>
            </w:tcBorders>
            <w:shd w:color="auto" w:fill="auto" w:val="clear"/>
          </w:tcPr>
          <w:p>
            <w:pPr>
              <w:pStyle w:val="Normal"/>
              <w:spacing w:lineRule="auto" w:line="240" w:before="0" w:after="0"/>
              <w:jc w:val="left"/>
              <w:rPr/>
            </w:pPr>
            <w:r>
              <w:rPr/>
            </w:r>
          </w:p>
        </w:tc>
        <w:tc>
          <w:tcPr>
            <w:tcW w:w="3260" w:type="dxa"/>
            <w:tcBorders>
              <w:left w:val="nil"/>
              <w:right w:val="nil"/>
            </w:tcBorders>
            <w:shd w:color="auto" w:fill="auto" w:val="clear"/>
          </w:tcPr>
          <w:p>
            <w:pPr>
              <w:pStyle w:val="Normal"/>
              <w:spacing w:lineRule="auto" w:line="240" w:before="0" w:after="0"/>
              <w:jc w:val="left"/>
              <w:rPr/>
            </w:pPr>
            <w:r>
              <w:rPr/>
            </w:r>
          </w:p>
        </w:tc>
        <w:tc>
          <w:tcPr>
            <w:tcW w:w="2051" w:type="dxa"/>
            <w:tcBorders>
              <w:left w:val="nil"/>
            </w:tcBorders>
            <w:shd w:color="auto" w:fill="auto" w:val="clear"/>
          </w:tcPr>
          <w:p>
            <w:pPr>
              <w:pStyle w:val="Normal"/>
              <w:spacing w:lineRule="auto" w:line="240" w:before="0" w:after="0"/>
              <w:jc w:val="left"/>
              <w:rPr/>
            </w:pPr>
            <w:r>
              <w:rPr/>
            </w:r>
          </w:p>
        </w:tc>
      </w:tr>
    </w:tbl>
    <w:p>
      <w:pPr>
        <w:pStyle w:val="Normal"/>
        <w:jc w:val="left"/>
        <w:rPr/>
      </w:pPr>
      <w:r>
        <w:rPr/>
      </w:r>
    </w:p>
    <w:p>
      <w:pPr>
        <w:pStyle w:val="Normal"/>
        <w:rPr/>
      </w:pPr>
      <w:r>
        <w:rPr/>
        <w:t xml:space="preserve">Kонкурса за израду  идејног урбанистичко – архитектонског решења Трга ослобођења у Зајечару је сагласан, и прихвата: </w:t>
      </w:r>
    </w:p>
    <w:p>
      <w:pPr>
        <w:pStyle w:val="Normal"/>
        <w:rPr/>
      </w:pPr>
      <w:r>
        <w:rPr/>
        <w:t>- услове дефинисане Расписом и Конкурсном документацијом,</w:t>
      </w:r>
    </w:p>
    <w:p>
      <w:pPr>
        <w:pStyle w:val="Normal"/>
        <w:rPr/>
      </w:pPr>
      <w:r>
        <w:rPr/>
        <w:t>- начин расподеле награда,</w:t>
      </w:r>
    </w:p>
    <w:p>
      <w:pPr>
        <w:pStyle w:val="Normal"/>
        <w:rPr/>
      </w:pPr>
      <w:r>
        <w:rPr/>
        <w:t>- пренос свих имовинских права аутора,</w:t>
      </w:r>
    </w:p>
    <w:p>
      <w:pPr>
        <w:pStyle w:val="Normal"/>
        <w:rPr/>
      </w:pPr>
      <w:r>
        <w:rPr/>
        <w:t>- евентуалну даљу разраду конкурсног рада уколико је награђен или откупљен,</w:t>
      </w:r>
    </w:p>
    <w:p>
      <w:pPr>
        <w:pStyle w:val="Normal"/>
        <w:rPr/>
      </w:pPr>
      <w:r>
        <w:rPr/>
        <w:t>- да се на изложби радова и у каталогу објави имe(на) аутора у случају да није међу награђеним и откупљеним конкурсним радовима.</w:t>
      </w:r>
    </w:p>
    <w:p>
      <w:pPr>
        <w:pStyle w:val="Normal"/>
        <w:jc w:val="left"/>
        <w:rPr/>
      </w:pPr>
      <w:r>
        <w:rPr/>
      </w:r>
    </w:p>
    <w:p>
      <w:pPr>
        <w:pStyle w:val="Normal"/>
        <w:jc w:val="left"/>
        <w:rPr/>
      </w:pPr>
      <w:r>
        <w:rPr/>
      </w:r>
    </w:p>
    <w:p>
      <w:pPr>
        <w:pStyle w:val="Normal"/>
        <w:jc w:val="left"/>
        <w:rPr/>
      </w:pPr>
      <w:r>
        <w:rPr/>
        <w:t>Лице овлашћено за заступање:</w:t>
      </w:r>
    </w:p>
    <w:p>
      <w:pPr>
        <w:pStyle w:val="Normal"/>
        <w:jc w:val="left"/>
        <w:rPr/>
      </w:pPr>
      <w:r>
        <w:rPr/>
        <w:t xml:space="preserve">_______________________  _______________________  ____________________ </w:t>
      </w:r>
    </w:p>
    <w:p>
      <w:pPr>
        <w:pStyle w:val="Normal"/>
        <w:jc w:val="left"/>
        <w:rPr/>
      </w:pPr>
      <w:r>
        <w:rPr/>
        <w:t>Датум _______________, 2021. године</w:t>
      </w:r>
    </w:p>
    <w:p>
      <w:pPr>
        <w:pStyle w:val="Normal"/>
        <w:jc w:val="left"/>
        <w:rPr>
          <w:b/>
          <w:b/>
        </w:rPr>
      </w:pPr>
      <w:r>
        <w:rPr>
          <w:b/>
        </w:rPr>
      </w:r>
    </w:p>
    <w:p>
      <w:pPr>
        <w:pStyle w:val="Normal"/>
        <w:jc w:val="left"/>
        <w:rPr>
          <w:b/>
          <w:b/>
        </w:rPr>
      </w:pPr>
      <w:r>
        <w:rPr>
          <w:b/>
        </w:rPr>
        <w:t>Напомена: Образац бр. 2 се доставља у коверти са назнаком „АУТОР“.</w:t>
      </w:r>
    </w:p>
    <w:p>
      <w:pPr>
        <w:pStyle w:val="Heading1"/>
        <w:rPr/>
      </w:pPr>
      <w:bookmarkStart w:id="14" w:name="_Toc70010151"/>
      <w:r>
        <w:rPr/>
        <w:t>Образац бр. 3</w:t>
      </w:r>
      <w:bookmarkEnd w:id="14"/>
    </w:p>
    <w:p>
      <w:pPr>
        <w:pStyle w:val="Normal"/>
        <w:jc w:val="center"/>
        <w:rPr>
          <w:b/>
          <w:b/>
        </w:rPr>
      </w:pPr>
      <w:r>
        <w:rPr>
          <w:b/>
        </w:rPr>
      </w:r>
    </w:p>
    <w:p>
      <w:pPr>
        <w:pStyle w:val="Normal"/>
        <w:rPr/>
      </w:pPr>
      <w:r>
        <w:rPr/>
        <w:t>У складу са условима Конкурса за за израду идејног урбанистичко - архитектонског решења Трга ослобођења у Зајечару,</w:t>
      </w:r>
    </w:p>
    <w:p>
      <w:pPr>
        <w:pStyle w:val="Normal"/>
        <w:rPr/>
      </w:pPr>
      <w:r>
        <w:rPr/>
      </w:r>
    </w:p>
    <w:p>
      <w:pPr>
        <w:pStyle w:val="Normal"/>
        <w:rPr/>
      </w:pPr>
      <w:r>
        <w:rPr/>
      </w:r>
    </w:p>
    <w:p>
      <w:pPr>
        <w:pStyle w:val="Normal"/>
        <w:rPr/>
      </w:pPr>
      <w:r>
        <w:rPr/>
      </w:r>
    </w:p>
    <w:p>
      <w:pPr>
        <w:pStyle w:val="Normal"/>
        <w:jc w:val="center"/>
        <w:rPr/>
      </w:pPr>
      <w:r>
        <w:rPr/>
        <w:t>Учесник, __________________________</w:t>
      </w:r>
    </w:p>
    <w:p>
      <w:pPr>
        <w:pStyle w:val="Normal"/>
        <w:jc w:val="center"/>
        <w:rPr/>
      </w:pPr>
      <w:r>
        <w:rPr/>
        <w:t>(уписати шифру конкурсног рада),</w:t>
      </w:r>
    </w:p>
    <w:p>
      <w:pPr>
        <w:pStyle w:val="Normal"/>
        <w:jc w:val="left"/>
        <w:rPr/>
      </w:pPr>
      <w:r>
        <w:rPr/>
      </w:r>
    </w:p>
    <w:p>
      <w:pPr>
        <w:pStyle w:val="Normal"/>
        <w:jc w:val="left"/>
        <w:rPr/>
      </w:pPr>
      <w:r>
        <w:rPr/>
      </w:r>
    </w:p>
    <w:p>
      <w:pPr>
        <w:pStyle w:val="Normal"/>
        <w:jc w:val="left"/>
        <w:rPr/>
      </w:pPr>
      <w:r>
        <w:rPr/>
      </w:r>
    </w:p>
    <w:p>
      <w:pPr>
        <w:pStyle w:val="Normal"/>
        <w:spacing w:before="0" w:after="200"/>
        <w:jc w:val="left"/>
        <w:rPr/>
      </w:pPr>
      <w:r>
        <w:rPr/>
        <w:t>доставља податке за повратак рада:</w:t>
      </w:r>
    </w:p>
    <w:p>
      <w:pPr>
        <w:pStyle w:val="Normal"/>
        <w:spacing w:before="0" w:after="160"/>
        <w:jc w:val="left"/>
        <w:rPr/>
      </w:pPr>
      <w:r>
        <w:rPr/>
        <w:t>Име и презиме</w:t>
        <w:tab/>
        <w:tab/>
        <w:t xml:space="preserve">  _________________________________________ </w:t>
      </w:r>
    </w:p>
    <w:p>
      <w:pPr>
        <w:pStyle w:val="Normal"/>
        <w:spacing w:before="0" w:after="160"/>
        <w:jc w:val="left"/>
        <w:rPr/>
      </w:pPr>
      <w:r>
        <w:rPr/>
        <w:t xml:space="preserve">Адреса из л.к. </w:t>
        <w:tab/>
        <w:tab/>
        <w:t xml:space="preserve">  _________________________________________ </w:t>
      </w:r>
    </w:p>
    <w:p>
      <w:pPr>
        <w:pStyle w:val="Normal"/>
        <w:spacing w:before="0" w:after="160"/>
        <w:jc w:val="left"/>
        <w:rPr/>
      </w:pPr>
      <w:r>
        <w:rPr/>
        <w:t>Контакт телефон</w:t>
        <w:tab/>
        <w:tab/>
        <w:t xml:space="preserve">  _________________________________________ </w:t>
      </w:r>
    </w:p>
    <w:p>
      <w:pPr>
        <w:pStyle w:val="Normal"/>
        <w:spacing w:before="0" w:after="160"/>
        <w:jc w:val="left"/>
        <w:rPr/>
      </w:pPr>
      <w:r>
        <w:rPr/>
        <w:t>Е-mail адреса</w:t>
        <w:tab/>
        <w:tab/>
        <w:tab/>
        <w:t xml:space="preserve">  _________________________________________ </w:t>
      </w:r>
    </w:p>
    <w:p>
      <w:pPr>
        <w:pStyle w:val="Normal"/>
        <w:spacing w:before="0" w:after="160"/>
        <w:jc w:val="left"/>
        <w:rPr/>
      </w:pPr>
      <w:r>
        <w:rPr/>
        <w:t>Потпис</w:t>
        <w:tab/>
        <w:tab/>
        <w:tab/>
        <w:t xml:space="preserve">  _________________________________________</w:t>
      </w:r>
    </w:p>
    <w:p>
      <w:pPr>
        <w:pStyle w:val="Normal"/>
        <w:jc w:val="left"/>
        <w:rPr/>
      </w:pPr>
      <w:r>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pStyle w:val="Normal"/>
        <w:jc w:val="left"/>
        <w:rPr>
          <w:b/>
          <w:b/>
        </w:rPr>
      </w:pPr>
      <w:r>
        <w:rPr>
          <w:b/>
        </w:rPr>
      </w:r>
    </w:p>
    <w:p>
      <w:pPr>
        <w:sectPr>
          <w:type w:val="nextPage"/>
          <w:pgSz w:w="12240" w:h="15840"/>
          <w:pgMar w:left="1440" w:right="1440" w:header="0" w:top="1440" w:footer="0" w:bottom="1440" w:gutter="0"/>
          <w:pgNumType w:fmt="decimal"/>
          <w:formProt w:val="false"/>
          <w:textDirection w:val="lrTb"/>
          <w:docGrid w:type="default" w:linePitch="360" w:charSpace="0"/>
        </w:sectPr>
        <w:pStyle w:val="Normal"/>
        <w:jc w:val="left"/>
        <w:rPr/>
      </w:pPr>
      <w:r>
        <w:rPr>
          <w:b/>
        </w:rPr>
        <w:t>Напомена: Образац бр. 3 се доставља у коверти са назнаком „КОНТАКТ“</w:t>
      </w:r>
    </w:p>
    <w:p>
      <w:pPr>
        <w:pStyle w:val="Heading1"/>
        <w:shd w:val="clear" w:fill="DBE5F1"/>
        <w:rPr/>
      </w:pPr>
      <w:bookmarkStart w:id="15" w:name="_Toc70507537"/>
      <w:r>
        <w:rPr/>
        <w:t>Образац бр. 4</w:t>
      </w:r>
      <w:bookmarkStart w:id="16" w:name="_GoBack1"/>
      <w:bookmarkEnd w:id="15"/>
      <w:bookmarkEnd w:id="16"/>
    </w:p>
    <w:p>
      <w:pPr>
        <w:pStyle w:val="Normal"/>
        <w:rPr/>
      </w:pPr>
      <w:r>
        <w:rPr/>
        <w:t>У складу са условима Конкурса за за израду идејног урбанистичко - архитектонског решења Трга ослобођења у Зајечару, достављам</w:t>
      </w:r>
    </w:p>
    <w:p>
      <w:pPr>
        <w:pStyle w:val="Normal"/>
        <w:rPr>
          <w:lang w:val="sr-RS"/>
        </w:rPr>
      </w:pPr>
      <w:r>
        <w:rPr>
          <w:lang w:val="sr-RS"/>
        </w:rPr>
      </w:r>
    </w:p>
    <w:p>
      <w:pPr>
        <w:pStyle w:val="Normal"/>
        <w:jc w:val="center"/>
        <w:rPr/>
      </w:pPr>
      <w:r>
        <w:rPr/>
        <w:t>Учесник, __________________________</w:t>
      </w:r>
      <w:r>
        <w:rPr>
          <w:lang w:val="sr-RS"/>
        </w:rPr>
        <w:t xml:space="preserve"> </w:t>
      </w:r>
      <w:r>
        <w:rPr/>
        <w:t>(уписати шифру конкурсног рада),</w:t>
      </w:r>
    </w:p>
    <w:p>
      <w:pPr>
        <w:pStyle w:val="Normal"/>
        <w:jc w:val="center"/>
        <w:rPr>
          <w:lang w:val="sr-RS"/>
        </w:rPr>
      </w:pPr>
      <w:r>
        <w:rPr>
          <w:lang w:val="sr-RS"/>
        </w:rPr>
      </w:r>
    </w:p>
    <w:p>
      <w:pPr>
        <w:pStyle w:val="Normal"/>
        <w:rPr/>
      </w:pPr>
      <w:r>
        <w:rPr/>
        <w:t xml:space="preserve">_____ Запечаћену коверту или кутију са </w:t>
      </w:r>
      <w:r>
        <w:rPr>
          <w:b/>
        </w:rPr>
        <w:t>конкурсним радом</w:t>
      </w:r>
    </w:p>
    <w:p>
      <w:pPr>
        <w:pStyle w:val="Normal"/>
        <w:rPr/>
      </w:pPr>
      <w:r>
        <w:rPr/>
        <w:tab/>
        <w:t>_____Текстуални прилози</w:t>
      </w:r>
    </w:p>
    <w:p>
      <w:pPr>
        <w:pStyle w:val="Normal"/>
        <w:rPr/>
      </w:pPr>
      <w:r>
        <w:rPr/>
        <w:tab/>
        <w:tab/>
        <w:t>_____</w:t>
        <w:tab/>
        <w:t>технички опис (7 примерака)</w:t>
      </w:r>
    </w:p>
    <w:p>
      <w:pPr>
        <w:pStyle w:val="Normal"/>
        <w:rPr/>
      </w:pPr>
      <w:r>
        <w:rPr>
          <w:lang w:val="sr-RS"/>
        </w:rPr>
        <w:tab/>
        <w:tab/>
      </w:r>
      <w:r>
        <w:rPr/>
        <w:t>_____</w:t>
        <w:tab/>
        <w:t>оквирн</w:t>
      </w:r>
      <w:r>
        <w:rPr>
          <w:lang w:val="sr-RS"/>
        </w:rPr>
        <w:t>а</w:t>
      </w:r>
      <w:r>
        <w:rPr/>
        <w:t xml:space="preserve"> процен</w:t>
      </w:r>
      <w:r>
        <w:rPr>
          <w:lang w:val="sr-RS"/>
        </w:rPr>
        <w:t>а</w:t>
      </w:r>
      <w:r>
        <w:rPr/>
        <w:t xml:space="preserve"> потребног улагања (7 примерака)</w:t>
      </w:r>
    </w:p>
    <w:p>
      <w:pPr>
        <w:pStyle w:val="Normal"/>
        <w:rPr/>
      </w:pPr>
      <w:r>
        <w:rPr/>
        <w:tab/>
        <w:tab/>
        <w:t>_____</w:t>
        <w:tab/>
        <w:t>умањени графички прилози (7 примерака)</w:t>
      </w:r>
    </w:p>
    <w:p>
      <w:pPr>
        <w:pStyle w:val="Normal"/>
        <w:rPr/>
      </w:pPr>
      <w:r>
        <w:rPr/>
        <w:tab/>
        <w:t>_____Графички прилози</w:t>
      </w:r>
    </w:p>
    <w:p>
      <w:pPr>
        <w:pStyle w:val="Normal"/>
        <w:rPr/>
      </w:pPr>
      <w:r>
        <w:rPr/>
        <w:tab/>
        <w:tab/>
        <w:t>_____</w:t>
        <w:tab/>
      </w:r>
      <w:r>
        <w:rPr>
          <w:lang w:val="sr-RS"/>
        </w:rPr>
        <w:t>Пр</w:t>
      </w:r>
      <w:r>
        <w:rPr/>
        <w:t xml:space="preserve">едлог урбанистичко-архитектонског решења са приказом </w:t>
      </w:r>
      <w:r>
        <w:rPr>
          <w:lang w:val="sr-RS"/>
        </w:rPr>
        <w:tab/>
        <w:tab/>
        <w:tab/>
      </w:r>
      <w:r>
        <w:rPr/>
        <w:t xml:space="preserve">диспозиције планираних површина (улични коридори, трг, пешачка зона, </w:t>
      </w:r>
      <w:r>
        <w:rPr>
          <w:lang w:val="sr-RS"/>
        </w:rPr>
        <w:tab/>
        <w:tab/>
      </w:r>
      <w:r>
        <w:rPr/>
        <w:t xml:space="preserve">пешачке комуникације, парк итд.) са начином обраде свих </w:t>
      </w:r>
      <w:r>
        <w:rPr>
          <w:lang w:val="sr-RS"/>
        </w:rPr>
        <w:tab/>
        <w:tab/>
        <w:tab/>
        <w:tab/>
      </w:r>
      <w:r>
        <w:rPr/>
        <w:t>партерних површина, у размери</w:t>
      </w:r>
      <w:r>
        <w:rPr>
          <w:lang w:val="sr-RS"/>
        </w:rPr>
        <w:t xml:space="preserve"> </w:t>
      </w:r>
      <w:r>
        <w:rPr/>
        <w:t>Р=1:500</w:t>
      </w:r>
    </w:p>
    <w:p>
      <w:pPr>
        <w:pStyle w:val="Normal"/>
        <w:ind w:left="720" w:hanging="0"/>
        <w:rPr/>
      </w:pPr>
      <w:r>
        <w:rPr>
          <w:lang w:val="sr-RS"/>
        </w:rPr>
        <w:tab/>
      </w:r>
      <w:r>
        <w:rPr/>
        <w:t>_____</w:t>
        <w:tab/>
        <w:t>Предлог партерног уређења</w:t>
      </w:r>
      <w:r>
        <w:rPr>
          <w:lang w:val="sr-RS"/>
        </w:rPr>
        <w:t xml:space="preserve"> </w:t>
      </w:r>
      <w:r>
        <w:rPr/>
        <w:t>Сегмента 1</w:t>
      </w:r>
      <w:r>
        <w:rPr>
          <w:lang w:val="sr-RS"/>
        </w:rPr>
        <w:t xml:space="preserve"> </w:t>
      </w:r>
      <w:r>
        <w:rPr/>
        <w:t xml:space="preserve">са елементима који </w:t>
      </w:r>
      <w:r>
        <w:rPr>
          <w:lang w:val="sr-RS"/>
        </w:rPr>
        <w:tab/>
      </w:r>
      <w:r>
        <w:rPr/>
        <w:t xml:space="preserve">дефинишу </w:t>
      </w:r>
      <w:r>
        <w:rPr>
          <w:lang w:val="sr-RS"/>
        </w:rPr>
        <w:tab/>
      </w:r>
      <w:r>
        <w:rPr/>
        <w:t xml:space="preserve">дизајн и материјализацију, урбани мобилијар, декоративне </w:t>
      </w:r>
      <w:r>
        <w:rPr>
          <w:lang w:val="sr-RS"/>
        </w:rPr>
        <w:tab/>
      </w:r>
      <w:r>
        <w:rPr/>
        <w:t xml:space="preserve">урбане елементе, декоративну расвету, нивелацију и регулацију, са </w:t>
      </w:r>
      <w:r>
        <w:rPr>
          <w:lang w:val="sr-RS"/>
        </w:rPr>
        <w:tab/>
      </w:r>
      <w:r>
        <w:rPr/>
        <w:t xml:space="preserve">потребним пресецима и изгледима, све у размери Р=1:333 и детаљима у </w:t>
      </w:r>
      <w:r>
        <w:rPr>
          <w:lang w:val="sr-RS"/>
        </w:rPr>
        <w:tab/>
      </w:r>
      <w:r>
        <w:rPr/>
        <w:t>размери по избору</w:t>
      </w:r>
    </w:p>
    <w:p>
      <w:pPr>
        <w:pStyle w:val="Normal"/>
        <w:ind w:left="720" w:hanging="0"/>
        <w:rPr/>
      </w:pPr>
      <w:r>
        <w:rPr>
          <w:lang w:val="sr-RS"/>
        </w:rPr>
        <w:tab/>
      </w:r>
      <w:r>
        <w:rPr/>
        <w:t>_____</w:t>
        <w:tab/>
        <w:t>Предлог партерног уређења</w:t>
      </w:r>
      <w:r>
        <w:rPr>
          <w:lang w:val="sr-RS"/>
        </w:rPr>
        <w:t xml:space="preserve"> </w:t>
      </w:r>
      <w:r>
        <w:rPr/>
        <w:t xml:space="preserve">Сегмента </w:t>
      </w:r>
      <w:r>
        <w:rPr>
          <w:lang w:val="sr-RS"/>
        </w:rPr>
        <w:t xml:space="preserve">2 </w:t>
      </w:r>
      <w:r>
        <w:rPr/>
        <w:t xml:space="preserve">са елементима који </w:t>
      </w:r>
      <w:r>
        <w:rPr>
          <w:lang w:val="sr-RS"/>
        </w:rPr>
        <w:tab/>
      </w:r>
      <w:r>
        <w:rPr/>
        <w:t xml:space="preserve">дефинишу </w:t>
      </w:r>
      <w:r>
        <w:rPr>
          <w:lang w:val="sr-RS"/>
        </w:rPr>
        <w:tab/>
      </w:r>
      <w:r>
        <w:rPr/>
        <w:t xml:space="preserve">дизајн и материјализацију, урбани мобилијар, декоративне </w:t>
      </w:r>
      <w:r>
        <w:rPr>
          <w:lang w:val="sr-RS"/>
        </w:rPr>
        <w:tab/>
      </w:r>
      <w:r>
        <w:rPr/>
        <w:t xml:space="preserve">урбане елементе, декоративну расвету, нивелацију и регулацију, са </w:t>
      </w:r>
      <w:r>
        <w:rPr>
          <w:lang w:val="sr-RS"/>
        </w:rPr>
        <w:tab/>
      </w:r>
      <w:r>
        <w:rPr/>
        <w:t xml:space="preserve">потребним пресецима и изгледима, све у размери Р=1:333 и детаљима у </w:t>
      </w:r>
      <w:r>
        <w:rPr>
          <w:lang w:val="sr-RS"/>
        </w:rPr>
        <w:tab/>
      </w:r>
      <w:r>
        <w:rPr/>
        <w:t>размери по избору</w:t>
      </w:r>
    </w:p>
    <w:p>
      <w:pPr>
        <w:pStyle w:val="Normal"/>
        <w:ind w:left="720" w:hanging="0"/>
        <w:rPr/>
      </w:pPr>
      <w:r>
        <w:rPr/>
        <w:tab/>
        <w:t>_____</w:t>
        <w:tab/>
        <w:t xml:space="preserve">Предлог пејзажног уређења, врсте декоративног зеленила и садног </w:t>
      </w:r>
      <w:r>
        <w:rPr>
          <w:lang w:val="sr-RS"/>
        </w:rPr>
        <w:tab/>
      </w:r>
      <w:r>
        <w:rPr/>
        <w:t>материјала на јавним зеленим површинамау размери</w:t>
      </w:r>
      <w:r>
        <w:rPr>
          <w:lang w:val="sr-RS"/>
        </w:rPr>
        <w:t xml:space="preserve"> </w:t>
      </w:r>
      <w:r>
        <w:rPr/>
        <w:t>Р=1:500</w:t>
      </w:r>
    </w:p>
    <w:p>
      <w:pPr>
        <w:pStyle w:val="Normal"/>
        <w:rPr/>
      </w:pPr>
      <w:r>
        <w:rPr/>
        <w:tab/>
        <w:tab/>
        <w:t>_____</w:t>
        <w:tab/>
        <w:t xml:space="preserve">Тродимензионални прикази предложеног решења који сагледавају </w:t>
      </w:r>
      <w:r>
        <w:rPr>
          <w:lang w:val="sr-RS"/>
        </w:rPr>
        <w:tab/>
        <w:tab/>
      </w:r>
      <w:r>
        <w:rPr/>
        <w:t xml:space="preserve">све делове предметне локације и целокупан потез из свих релевантних </w:t>
      </w:r>
      <w:r>
        <w:rPr>
          <w:lang w:val="sr-RS"/>
        </w:rPr>
        <w:tab/>
        <w:tab/>
      </w:r>
      <w:r>
        <w:rPr/>
        <w:t>праваца</w:t>
      </w:r>
    </w:p>
    <w:p>
      <w:pPr>
        <w:pStyle w:val="Normal"/>
        <w:rPr/>
      </w:pPr>
      <w:r>
        <w:rPr/>
        <w:tab/>
        <w:tab/>
        <w:t>_____</w:t>
        <w:tab/>
        <w:t>Остали прилози који додатно илуструју идејно урбанистичко-</w:t>
        <w:tab/>
        <w:tab/>
        <w:tab/>
        <w:t>архитектонско решење, по избору аутора</w:t>
      </w:r>
    </w:p>
    <w:p>
      <w:pPr>
        <w:pStyle w:val="Normal"/>
        <w:rPr/>
      </w:pPr>
      <w:r>
        <w:rPr/>
        <w:t xml:space="preserve">_____Коверту са ознаком </w:t>
      </w:r>
      <w:r>
        <w:rPr>
          <w:b/>
        </w:rPr>
        <w:t>„АУТОР“</w:t>
      </w:r>
    </w:p>
    <w:p>
      <w:pPr>
        <w:pStyle w:val="Normal"/>
        <w:rPr/>
      </w:pPr>
      <w:r>
        <w:rPr/>
        <w:tab/>
        <w:t>_____ Образац бр. 2 – Изјава</w:t>
      </w:r>
    </w:p>
    <w:p>
      <w:pPr>
        <w:pStyle w:val="Normal"/>
        <w:rPr/>
      </w:pPr>
      <w:r>
        <w:rPr/>
        <w:tab/>
        <w:t>_____ Фотокопија дипломе</w:t>
      </w:r>
    </w:p>
    <w:p>
      <w:pPr>
        <w:pStyle w:val="Normal"/>
        <w:rPr/>
      </w:pPr>
      <w:r>
        <w:rPr/>
        <w:t xml:space="preserve">_____Коверту са ознаком </w:t>
      </w:r>
      <w:r>
        <w:rPr>
          <w:b/>
        </w:rPr>
        <w:t>„КОНТАКТ“</w:t>
      </w:r>
    </w:p>
    <w:p>
      <w:pPr>
        <w:pStyle w:val="Normal"/>
        <w:rPr/>
      </w:pPr>
      <w:r>
        <w:rPr/>
        <w:tab/>
        <w:t>_____ Образац бр. 3 - Подаци за повраћај рада</w:t>
      </w:r>
    </w:p>
    <w:p>
      <w:pPr>
        <w:pStyle w:val="Normal"/>
        <w:rPr/>
      </w:pPr>
      <w:r>
        <w:rPr/>
        <w:t xml:space="preserve">_____ Образац бр. 4 - </w:t>
      </w:r>
      <w:r>
        <w:rPr>
          <w:b/>
        </w:rPr>
        <w:t>Лист са списком свих прилога</w:t>
      </w:r>
    </w:p>
    <w:p>
      <w:pPr>
        <w:pStyle w:val="Normal"/>
        <w:rPr>
          <w:lang w:val="sr-RS"/>
        </w:rPr>
      </w:pPr>
      <w:r>
        <w:rPr>
          <w:lang w:val="sr-RS"/>
        </w:rPr>
      </w:r>
    </w:p>
    <w:p>
      <w:pPr>
        <w:pStyle w:val="Normal"/>
        <w:spacing w:before="0" w:after="100"/>
        <w:jc w:val="left"/>
        <w:rPr/>
      </w:pPr>
      <w:hyperlink r:id="rId2">
        <w:r>
          <w:rPr>
            <w:rStyle w:val="ListLabel55"/>
            <w:b/>
          </w:rPr>
          <w:t>Напомена: Образац бр. 4 се доставља у упакованом и непрозирном пакету.</w:t>
        </w:r>
      </w:hyperlink>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Courier New">
    <w:charset w:val="01"/>
    <w:family w:val="swiss"/>
    <w:pitch w:val="default"/>
  </w:font>
  <w:font w:name="Arial">
    <w:charset w:val="01"/>
    <w:family w:val="swiss"/>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720" w:hanging="360"/>
      </w:pPr>
      <w:rPr>
        <w:rFonts w:eastAsia="Arial"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9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1" w:semiHidden="0" w:unhideWhenUsed="0" w:qFormat="1"/>
    <w:lsdException w:name="heading 1" w:uiPriority="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8a14b8"/>
    <w:pPr>
      <w:widowControl w:val="false"/>
      <w:bidi w:val="0"/>
      <w:spacing w:lineRule="auto" w:line="240" w:before="0" w:after="100"/>
      <w:jc w:val="both"/>
    </w:pPr>
    <w:rPr>
      <w:rFonts w:ascii="Times New Roman" w:hAnsi="Times New Roman" w:eastAsia="Arial" w:cs="Arial"/>
      <w:color w:val="auto"/>
      <w:kern w:val="0"/>
      <w:sz w:val="24"/>
      <w:szCs w:val="22"/>
      <w:lang w:val="en-US" w:eastAsia="en-US" w:bidi="ar-SA"/>
    </w:rPr>
  </w:style>
  <w:style w:type="paragraph" w:styleId="Heading1">
    <w:name w:val="Heading 1"/>
    <w:basedOn w:val="Normal"/>
    <w:link w:val="Heading1Char"/>
    <w:uiPriority w:val="1"/>
    <w:qFormat/>
    <w:rsid w:val="008a14b8"/>
    <w:pPr>
      <w:pBdr>
        <w:top w:val="single" w:sz="4" w:space="1" w:color="000000"/>
        <w:left w:val="single" w:sz="4" w:space="4" w:color="000000"/>
        <w:bottom w:val="single" w:sz="4" w:space="1" w:color="000000"/>
        <w:right w:val="single" w:sz="4" w:space="4" w:color="000000"/>
      </w:pBdr>
      <w:shd w:val="clear" w:color="auto" w:fill="DBE5F1" w:themeFill="accent1" w:themeFillTint="33"/>
      <w:outlineLvl w:val="0"/>
    </w:pPr>
    <w:rPr>
      <w:b/>
      <w:bCs/>
      <w:szCs w:val="39"/>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1"/>
    <w:qFormat/>
    <w:rsid w:val="008a14b8"/>
    <w:rPr>
      <w:rFonts w:ascii="Times New Roman" w:hAnsi="Times New Roman" w:eastAsia="Arial" w:cs="Arial"/>
      <w:sz w:val="24"/>
      <w:szCs w:val="39"/>
      <w:shd w:fill="DBE5F1" w:val="clear"/>
    </w:rPr>
  </w:style>
  <w:style w:type="character" w:styleId="ListLabel1">
    <w:name w:val="ListLabel 1"/>
    <w:qFormat/>
    <w:rPr>
      <w:rFonts w:cs="Symbol"/>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eastAsia="Arial" w:cs="Arial"/>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eastAsia="Arial" w:cs="Aria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CITE">
    <w:name w:val="CITE"/>
    <w:qFormat/>
    <w:rPr>
      <w:i/>
    </w:rPr>
  </w:style>
  <w:style w:type="character" w:styleId="CODE">
    <w:name w:val="CODE"/>
    <w:qFormat/>
    <w:rPr>
      <w:rFonts w:ascii="Courier New" w:hAnsi="Courier New"/>
      <w:sz w:val="20"/>
    </w:rPr>
  </w:style>
  <w:style w:type="character" w:styleId="FollowedHyperlink">
    <w:name w:val="FollowedHyperlink"/>
    <w:qFormat/>
    <w:rPr>
      <w:color w:val="800080"/>
      <w:u w:val="single"/>
    </w:rPr>
  </w:style>
  <w:style w:type="character" w:styleId="Keyboard">
    <w:name w:val="Keyboard"/>
    <w:qFormat/>
    <w:rPr>
      <w:rFonts w:ascii="Courier New" w:hAnsi="Courier New"/>
      <w:b/>
      <w:sz w:val="20"/>
    </w:rPr>
  </w:style>
  <w:style w:type="character" w:styleId="Sample">
    <w:name w:val="Sample"/>
    <w:qFormat/>
    <w:rPr>
      <w:rFonts w:ascii="Courier New" w:hAnsi="Courier New"/>
    </w:rPr>
  </w:style>
  <w:style w:type="character" w:styleId="Strong">
    <w:name w:val="Strong"/>
    <w:qFormat/>
    <w:rPr>
      <w:b/>
    </w:rPr>
  </w:style>
  <w:style w:type="character" w:styleId="Typewriter">
    <w:name w:val="Typewriter"/>
    <w:qFormat/>
    <w:rPr>
      <w:rFonts w:ascii="Courier New" w:hAnsi="Courier New"/>
      <w:sz w:val="20"/>
    </w:rPr>
  </w:style>
  <w:style w:type="character" w:styleId="HTMLMarkup">
    <w:name w:val="HTML Markup"/>
    <w:qFormat/>
    <w:rPr>
      <w:vanish/>
      <w:color w:val="FF0000"/>
    </w:rPr>
  </w:style>
  <w:style w:type="character" w:styleId="Comment">
    <w:name w:val="Comment"/>
    <w:qFormat/>
    <w:rPr>
      <w:vanish/>
    </w:rPr>
  </w:style>
  <w:style w:type="character" w:styleId="InternetLink">
    <w:name w:val="Internet Link"/>
    <w:rPr>
      <w:color w:val="000080"/>
      <w:u w:val="single"/>
      <w:lang w:val="zxx" w:eastAsia="zxx" w:bidi="zxx"/>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eastAsia="Arial" w:cs="Arial"/>
    </w:rPr>
  </w:style>
  <w:style w:type="character" w:styleId="ListLabel47">
    <w:name w:val="ListLabel 47"/>
    <w:qFormat/>
    <w:rPr>
      <w:rFonts w:cs="Courier New"/>
    </w:rPr>
  </w:style>
  <w:style w:type="character" w:styleId="ListLabel48">
    <w:name w:val="ListLabel 48"/>
    <w:qFormat/>
    <w:rPr>
      <w:rFonts w:cs="Wingdings"/>
    </w:rPr>
  </w:style>
  <w:style w:type="character" w:styleId="ListLabel49">
    <w:name w:val="ListLabel 49"/>
    <w:qFormat/>
    <w:rPr>
      <w:rFonts w:cs="Symbol"/>
    </w:rPr>
  </w:style>
  <w:style w:type="character" w:styleId="ListLabel50">
    <w:name w:val="ListLabel 50"/>
    <w:qFormat/>
    <w:rPr>
      <w:rFonts w:cs="Courier New"/>
    </w:rPr>
  </w:style>
  <w:style w:type="character" w:styleId="ListLabel51">
    <w:name w:val="ListLabel 51"/>
    <w:qFormat/>
    <w:rPr>
      <w:rFonts w:cs="Wingdings"/>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b/>
    </w:rPr>
  </w:style>
  <w:style w:type="paragraph" w:styleId="Heading">
    <w:name w:val="Heading"/>
    <w:basedOn w:val="Normal"/>
    <w:next w:val="TextBody"/>
    <w:qFormat/>
    <w:pPr>
      <w:keepNext w:val="true"/>
      <w:spacing w:before="240" w:after="120"/>
    </w:pPr>
    <w:rPr>
      <w:rFonts w:ascii="Arial" w:hAnsi="Arial"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paragraph" w:styleId="ListParagraph">
    <w:name w:val="List Paragraph"/>
    <w:basedOn w:val="Normal"/>
    <w:uiPriority w:val="1"/>
    <w:qFormat/>
    <w:rsid w:val="008a14b8"/>
    <w:pPr>
      <w:ind w:left="788" w:hanging="284"/>
    </w:pPr>
    <w:rPr/>
  </w:style>
  <w:style w:type="paragraph" w:styleId="Default" w:customStyle="1">
    <w:name w:val="Default"/>
    <w:qFormat/>
    <w:rsid w:val="008a14b8"/>
    <w:pPr>
      <w:widowControl/>
      <w:bidi w:val="0"/>
      <w:spacing w:lineRule="auto" w:line="240" w:before="0" w:after="0"/>
      <w:jc w:val="left"/>
    </w:pPr>
    <w:rPr>
      <w:rFonts w:ascii="Times New Roman" w:hAnsi="Times New Roman" w:eastAsia="Calibri" w:cs="Times New Roman"/>
      <w:color w:val="000000"/>
      <w:kern w:val="0"/>
      <w:sz w:val="24"/>
      <w:szCs w:val="24"/>
      <w:lang w:val="en-US" w:eastAsia="en-US" w:bidi="ar-SA"/>
    </w:rPr>
  </w:style>
  <w:style w:type="paragraph" w:styleId="DefinitionTerm">
    <w:name w:val="Definition Term"/>
    <w:basedOn w:val="Normal"/>
    <w:qFormat/>
    <w:pPr/>
    <w:rPr/>
  </w:style>
  <w:style w:type="paragraph" w:styleId="DefinitionList">
    <w:name w:val="Definition List"/>
    <w:basedOn w:val="Normal"/>
    <w:qFormat/>
    <w:pPr>
      <w:ind w:left="360" w:hanging="0"/>
    </w:pPr>
    <w:rPr/>
  </w:style>
  <w:style w:type="paragraph" w:styleId="H1">
    <w:name w:val="H1"/>
    <w:basedOn w:val="Normal"/>
    <w:qFormat/>
    <w:pPr>
      <w:keepNext w:val="true"/>
      <w:spacing w:before="100" w:after="100"/>
      <w:outlineLvl w:val="1"/>
    </w:pPr>
    <w:rPr>
      <w:b/>
      <w:kern w:val="2"/>
      <w:sz w:val="48"/>
    </w:rPr>
  </w:style>
  <w:style w:type="paragraph" w:styleId="H2">
    <w:name w:val="H2"/>
    <w:basedOn w:val="Normal"/>
    <w:qFormat/>
    <w:pPr>
      <w:keepNext w:val="true"/>
      <w:spacing w:before="100" w:after="100"/>
      <w:outlineLvl w:val="2"/>
    </w:pPr>
    <w:rPr>
      <w:b/>
      <w:sz w:val="36"/>
    </w:rPr>
  </w:style>
  <w:style w:type="paragraph" w:styleId="H3">
    <w:name w:val="H3"/>
    <w:basedOn w:val="Normal"/>
    <w:qFormat/>
    <w:pPr>
      <w:keepNext w:val="true"/>
      <w:spacing w:before="100" w:after="100"/>
      <w:outlineLvl w:val="3"/>
    </w:pPr>
    <w:rPr>
      <w:b/>
      <w:sz w:val="28"/>
    </w:rPr>
  </w:style>
  <w:style w:type="paragraph" w:styleId="H4">
    <w:name w:val="H4"/>
    <w:basedOn w:val="Normal"/>
    <w:qFormat/>
    <w:pPr>
      <w:keepNext w:val="true"/>
      <w:spacing w:before="100" w:after="100"/>
      <w:outlineLvl w:val="4"/>
    </w:pPr>
    <w:rPr>
      <w:b/>
      <w:sz w:val="24"/>
    </w:rPr>
  </w:style>
  <w:style w:type="paragraph" w:styleId="H5">
    <w:name w:val="H5"/>
    <w:basedOn w:val="Normal"/>
    <w:qFormat/>
    <w:pPr>
      <w:keepNext w:val="true"/>
      <w:spacing w:before="100" w:after="100"/>
      <w:outlineLvl w:val="5"/>
    </w:pPr>
    <w:rPr>
      <w:b/>
      <w:sz w:val="20"/>
    </w:rPr>
  </w:style>
  <w:style w:type="paragraph" w:styleId="H6">
    <w:name w:val="H6"/>
    <w:basedOn w:val="Normal"/>
    <w:qFormat/>
    <w:pPr>
      <w:keepNext w:val="true"/>
      <w:spacing w:before="100" w:after="100"/>
      <w:outlineLvl w:val="6"/>
    </w:pPr>
    <w:rPr>
      <w:b/>
      <w:sz w:val="16"/>
    </w:rPr>
  </w:style>
  <w:style w:type="paragraph" w:styleId="Address">
    <w:name w:val="Address"/>
    <w:basedOn w:val="Normal"/>
    <w:qFormat/>
    <w:pPr/>
    <w:rPr>
      <w:i/>
    </w:rPr>
  </w:style>
  <w:style w:type="paragraph" w:styleId="Blockquote">
    <w:name w:val="Blockquote"/>
    <w:basedOn w:val="Normal"/>
    <w:qFormat/>
    <w:pPr>
      <w:spacing w:before="100" w:after="100"/>
      <w:ind w:left="360" w:right="360" w:hanging="0"/>
    </w:pPr>
    <w:rPr/>
  </w:style>
  <w:style w:type="paragraph" w:styleId="Preformatted">
    <w:name w:val="Preformatted"/>
    <w:basedOn w:val="Normal"/>
    <w:qFormat/>
    <w:pPr>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spacing w:before="0" w:after="0"/>
    </w:pPr>
    <w:rPr>
      <w:rFonts w:ascii="Courier New" w:hAnsi="Courier New"/>
      <w:sz w:val="20"/>
    </w:rPr>
  </w:style>
  <w:style w:type="paragraph" w:styleId="ZBottomofForm">
    <w:name w:val="z-Bottom of Form"/>
    <w:qFormat/>
    <w:pPr>
      <w:widowControl/>
      <w:pBdr>
        <w:top w:val="double" w:sz="2" w:space="0" w:color="000000"/>
      </w:pBdr>
      <w:bidi w:val="0"/>
      <w:jc w:val="center"/>
    </w:pPr>
    <w:rPr>
      <w:rFonts w:ascii="Arial" w:hAnsi="Arial" w:eastAsia="Arial" w:cs="Courier New"/>
      <w:vanish/>
      <w:color w:val="auto"/>
      <w:kern w:val="0"/>
      <w:sz w:val="16"/>
      <w:szCs w:val="24"/>
      <w:lang w:val="en-US" w:eastAsia="en-US" w:bidi="ar-SA"/>
    </w:rPr>
  </w:style>
  <w:style w:type="paragraph" w:styleId="ZTopofForm">
    <w:name w:val="z-Top of Form"/>
    <w:qFormat/>
    <w:pPr>
      <w:widowControl/>
      <w:pBdr>
        <w:bottom w:val="double" w:sz="2" w:space="0" w:color="000000"/>
      </w:pBdr>
      <w:bidi w:val="0"/>
      <w:jc w:val="center"/>
    </w:pPr>
    <w:rPr>
      <w:rFonts w:ascii="Arial" w:hAnsi="Arial" w:eastAsia="Arial" w:cs="Courier New"/>
      <w:vanish/>
      <w:color w:val="auto"/>
      <w:kern w:val="0"/>
      <w:sz w:val="16"/>
      <w:szCs w:val="24"/>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59"/>
    <w:rsid w:val="008a14b8"/>
    <w:pPr>
      <w:spacing w:after="0" w:line="240" w:lineRule="auto"/>
    </w:pPr>
    <w:rPr>
      <w:sz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zajecar.info/files/document/konkurstrg.zip"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Application>LibreOffice/6.2.8.2$Windows_X86_64 LibreOffice_project/f82ddfca21ebc1e222a662a32b25c0c9d20169ee</Application>
  <Pages>14</Pages>
  <Words>3623</Words>
  <Characters>22574</Characters>
  <CharactersWithSpaces>26077</CharactersWithSpaces>
  <Paragraphs>240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2021-04-27T15:41:00Z</dcterms:created>
  <dc:creator>pc</dc:creator>
  <dc:description/>
  <dc:language>en-US</dc:language>
  <cp:lastModifiedBy/>
  <dcterms:modified xsi:type="dcterms:W3CDTF">2021-04-28T14:26:00Z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DocumentEncoding">
    <vt:lpwstr>utf-8</vt:lpwstr>
  </property>
  <property fmtid="{D5CDD505-2E9C-101B-9397-08002B2CF9AE}" pid="5" name="HTML">
    <vt:bool>1</vt:bool>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